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ED45B" w14:textId="3CF9568D" w:rsidR="009C29C6" w:rsidRDefault="00FE4F6D">
      <w:pPr>
        <w:pStyle w:val="Titolo1"/>
      </w:pPr>
      <w:r>
        <w:t>Economia delle disuguaglianze</w:t>
      </w:r>
    </w:p>
    <w:p w14:paraId="447A262E" w14:textId="2AFB5D85" w:rsidR="00FE4F6D" w:rsidRDefault="00FE4F6D" w:rsidP="00FE4F6D">
      <w:pPr>
        <w:pStyle w:val="Titolo2"/>
      </w:pPr>
      <w:r>
        <w:t xml:space="preserve">Prof. </w:t>
      </w:r>
      <w:r w:rsidR="00C36095">
        <w:t>Selene Ghisolfi</w:t>
      </w:r>
    </w:p>
    <w:p w14:paraId="6ADCC636" w14:textId="2FF39B6C" w:rsidR="00FE4F6D" w:rsidRDefault="00FE4F6D" w:rsidP="00FE4F6D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4E6B6A2A" w14:textId="1BD4F8B2" w:rsidR="00FE4F6D" w:rsidRDefault="00FE4F6D" w:rsidP="00FE4F6D">
      <w:r>
        <w:t xml:space="preserve">Il corso intende introdurre gli studenti all’analisi economica della disuguaglianza, con le sue cause e conseguenze, attraverso una prospettiva multidimensionale. All’interno del corso si </w:t>
      </w:r>
      <w:r w:rsidR="007628B6">
        <w:t>studieranno cause e conseguenze</w:t>
      </w:r>
      <w:r>
        <w:t xml:space="preserve"> della</w:t>
      </w:r>
      <w:r w:rsidR="007628B6">
        <w:t xml:space="preserve"> diseguaglianza e della</w:t>
      </w:r>
      <w:r>
        <w:t xml:space="preserve"> povertà nei sistemi economici moderni</w:t>
      </w:r>
      <w:r w:rsidR="00E04520">
        <w:t>,</w:t>
      </w:r>
      <w:r>
        <w:t xml:space="preserve"> i metodi di </w:t>
      </w:r>
      <w:r w:rsidR="00E04520">
        <w:t>misurazione</w:t>
      </w:r>
      <w:r>
        <w:t>,</w:t>
      </w:r>
      <w:r w:rsidR="00E151DA">
        <w:t xml:space="preserve"> la mobilità sociale, </w:t>
      </w:r>
      <w:r w:rsidR="00911C8A">
        <w:t xml:space="preserve">e i rapporti causa-effetto tra diseguaglianza e </w:t>
      </w:r>
      <w:r w:rsidR="008A7788">
        <w:t>istruzione, genere, salute e decisioni di migrazione,</w:t>
      </w:r>
      <w:r>
        <w:t xml:space="preserve"> con particolare attenzione alle implicazioni etiche della valutazione e agli effetti redistributivi dell'intervento del settore pubblico. Verrà quindi in particolare approfondito il ruolo dello Stato e i potenziali interventi di policy a livello europeo e internazionale per combattere la disuguaglianza e la povertà nelle società.  </w:t>
      </w:r>
    </w:p>
    <w:p w14:paraId="09D4A0F5" w14:textId="77777777" w:rsidR="00FE4F6D" w:rsidRDefault="00FE4F6D" w:rsidP="00FE4F6D"/>
    <w:p w14:paraId="3D2F865C" w14:textId="77777777" w:rsidR="00FE4F6D" w:rsidRDefault="00FE4F6D" w:rsidP="00FE4F6D">
      <w:r>
        <w:t xml:space="preserve">RISULTATI DI APPRENDIMENTO ATTESI  </w:t>
      </w:r>
    </w:p>
    <w:p w14:paraId="01095677" w14:textId="2145C18B" w:rsidR="00FE4F6D" w:rsidRDefault="00BF6482" w:rsidP="00FE4F6D">
      <w:pPr>
        <w:numPr>
          <w:ilvl w:val="0"/>
          <w:numId w:val="1"/>
        </w:numPr>
      </w:pPr>
      <w:r>
        <w:t xml:space="preserve">Comprendere la </w:t>
      </w:r>
      <w:r w:rsidR="007D78E6">
        <w:t>multidimensionalità</w:t>
      </w:r>
      <w:r>
        <w:t xml:space="preserve"> </w:t>
      </w:r>
      <w:r w:rsidR="00FE4F6D">
        <w:t>della disuguaglianza</w:t>
      </w:r>
    </w:p>
    <w:p w14:paraId="5D2D94D2" w14:textId="52024316" w:rsidR="00FE4F6D" w:rsidRDefault="00FE4F6D" w:rsidP="00BC5515">
      <w:pPr>
        <w:numPr>
          <w:ilvl w:val="0"/>
          <w:numId w:val="1"/>
        </w:numPr>
      </w:pPr>
      <w:r>
        <w:t xml:space="preserve">comprendere gli effetti dei principali fenomeni economici globali su diseguaglianza e povertà  </w:t>
      </w:r>
    </w:p>
    <w:p w14:paraId="38B3287C" w14:textId="42DEF042" w:rsidR="00FE4F6D" w:rsidRDefault="00FE4F6D" w:rsidP="00FE4F6D">
      <w:pPr>
        <w:numPr>
          <w:ilvl w:val="0"/>
          <w:numId w:val="1"/>
        </w:numPr>
      </w:pPr>
      <w:r>
        <w:t xml:space="preserve">conoscere l'evoluzione storica della disuguaglianza nella distribuzione del reddito all'interno dei diversi paesi </w:t>
      </w:r>
    </w:p>
    <w:p w14:paraId="4C2501FA" w14:textId="7DB3EE90" w:rsidR="00FE4F6D" w:rsidRDefault="00FE4F6D" w:rsidP="00FE4F6D">
      <w:pPr>
        <w:numPr>
          <w:ilvl w:val="0"/>
          <w:numId w:val="1"/>
        </w:numPr>
      </w:pPr>
      <w:r>
        <w:t xml:space="preserve">comprensione dei principali metodi per la misurazione e la valutazione delle disuguaglianze economiche </w:t>
      </w:r>
    </w:p>
    <w:p w14:paraId="1AC33E74" w14:textId="463C6F72" w:rsidR="00E959B8" w:rsidRDefault="00FE4F6D" w:rsidP="00FE4F6D">
      <w:pPr>
        <w:numPr>
          <w:ilvl w:val="0"/>
          <w:numId w:val="1"/>
        </w:numPr>
      </w:pPr>
      <w:r>
        <w:t xml:space="preserve">capire i problemi e le motivazioni della </w:t>
      </w:r>
      <w:r w:rsidR="00E94B51">
        <w:t xml:space="preserve">diseguaglianza della </w:t>
      </w:r>
      <w:r>
        <w:t>distribuzione delle risorse tra individui e famiglie</w:t>
      </w:r>
    </w:p>
    <w:p w14:paraId="42C9A0FF" w14:textId="03A48649" w:rsidR="00FE4F6D" w:rsidRDefault="00E94B51" w:rsidP="00FE4F6D">
      <w:pPr>
        <w:numPr>
          <w:ilvl w:val="0"/>
          <w:numId w:val="1"/>
        </w:numPr>
      </w:pPr>
      <w:r>
        <w:t>capire cause e conseguenze dell</w:t>
      </w:r>
      <w:r w:rsidR="00883150">
        <w:t xml:space="preserve">e diseguaglianze </w:t>
      </w:r>
      <w:r w:rsidR="0040089F">
        <w:t xml:space="preserve">in termini di istruzione, </w:t>
      </w:r>
      <w:r w:rsidR="0045214C">
        <w:t>genere, salute e background migratorio</w:t>
      </w:r>
    </w:p>
    <w:p w14:paraId="4C3233EC" w14:textId="36F02E3D" w:rsidR="00FE4F6D" w:rsidRDefault="00FE4F6D" w:rsidP="00FE4F6D">
      <w:pPr>
        <w:numPr>
          <w:ilvl w:val="0"/>
          <w:numId w:val="1"/>
        </w:numPr>
      </w:pPr>
      <w:r>
        <w:t>capire come lo Stato e altri soggetti, pubblici o privati, possano intervenire per redistribuire redditi e ricchezza</w:t>
      </w:r>
      <w:r w:rsidR="0045214C">
        <w:t xml:space="preserve"> e</w:t>
      </w:r>
      <w:r w:rsidR="00B60492">
        <w:t xml:space="preserve"> come valutare gli impatti delle politiche pubbliche</w:t>
      </w:r>
      <w:r>
        <w:t xml:space="preserve">. </w:t>
      </w:r>
    </w:p>
    <w:p w14:paraId="3CFEC40B" w14:textId="77777777" w:rsidR="00FE4F6D" w:rsidRDefault="00FE4F6D" w:rsidP="00FE4F6D">
      <w:r>
        <w:t xml:space="preserve"> </w:t>
      </w:r>
    </w:p>
    <w:p w14:paraId="14B3B5A3" w14:textId="77777777" w:rsidR="00FE4F6D" w:rsidRDefault="00FE4F6D" w:rsidP="00FE4F6D">
      <w:r>
        <w:t xml:space="preserve">Capacità di applicare conoscenza e comprensione: </w:t>
      </w:r>
    </w:p>
    <w:p w14:paraId="4D4BE74F" w14:textId="641C2243" w:rsidR="00FE4F6D" w:rsidRDefault="00FE4F6D" w:rsidP="00FE4F6D">
      <w:pPr>
        <w:numPr>
          <w:ilvl w:val="0"/>
          <w:numId w:val="2"/>
        </w:numPr>
      </w:pPr>
      <w:r>
        <w:t xml:space="preserve">identificare il grado di diseguaglianza e povertà nelle economie moderne </w:t>
      </w:r>
    </w:p>
    <w:p w14:paraId="73F5AB45" w14:textId="265B4839" w:rsidR="00FE4F6D" w:rsidRDefault="00FE4F6D" w:rsidP="00FE4F6D">
      <w:pPr>
        <w:numPr>
          <w:ilvl w:val="0"/>
          <w:numId w:val="2"/>
        </w:numPr>
      </w:pPr>
      <w:r>
        <w:t xml:space="preserve">usare modelli di scelta sociale per misurare l'equità dell'intervento pubblico ed interpretarne le motivazioni </w:t>
      </w:r>
    </w:p>
    <w:p w14:paraId="32B873A6" w14:textId="16EE6B0E" w:rsidR="00FE4F6D" w:rsidRDefault="00FE4F6D" w:rsidP="00FE4F6D">
      <w:pPr>
        <w:numPr>
          <w:ilvl w:val="0"/>
          <w:numId w:val="2"/>
        </w:numPr>
      </w:pPr>
      <w:r>
        <w:t xml:space="preserve">valutare l'impatto delle scelte sociali sulla redistribuzione delle risorse </w:t>
      </w:r>
    </w:p>
    <w:p w14:paraId="2F9E5634" w14:textId="538DC257" w:rsidR="00FE4F6D" w:rsidRDefault="00FE4F6D" w:rsidP="00FE4F6D">
      <w:pPr>
        <w:numPr>
          <w:ilvl w:val="0"/>
          <w:numId w:val="2"/>
        </w:numPr>
      </w:pPr>
      <w:r>
        <w:t>riflettere sugli effetti dei principali trend globali sulla povertà e la diseguaglianza.</w:t>
      </w:r>
    </w:p>
    <w:p w14:paraId="339D7BDA" w14:textId="3BA52E1E" w:rsidR="00FE4F6D" w:rsidRDefault="00FE4F6D" w:rsidP="00FE4F6D"/>
    <w:p w14:paraId="4AE6F928" w14:textId="5BEC87C2" w:rsidR="00FE4F6D" w:rsidRDefault="00FE4F6D" w:rsidP="00FE4F6D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lastRenderedPageBreak/>
        <w:t>PROGRAMMA DEL CORSO</w:t>
      </w:r>
    </w:p>
    <w:p w14:paraId="325A29EC" w14:textId="7FCB2697" w:rsidR="00FE4F6D" w:rsidRDefault="00FE4F6D" w:rsidP="00FE4F6D">
      <w:r>
        <w:t xml:space="preserve">•       </w:t>
      </w:r>
      <w:r w:rsidR="00BB72FB">
        <w:t>Diseguaglianze: introduzione</w:t>
      </w:r>
    </w:p>
    <w:p w14:paraId="480723EB" w14:textId="1C0DF5B4" w:rsidR="00FE4F6D" w:rsidRDefault="00FE4F6D" w:rsidP="00FE4F6D">
      <w:r>
        <w:t xml:space="preserve">•       </w:t>
      </w:r>
      <w:r w:rsidR="00AE5A5B">
        <w:t>Misurazion</w:t>
      </w:r>
      <w:r w:rsidR="00386E71">
        <w:t>e delle diseguaglianze</w:t>
      </w:r>
    </w:p>
    <w:p w14:paraId="54F9B866" w14:textId="09C2BF31" w:rsidR="00FE4F6D" w:rsidRDefault="00FE4F6D" w:rsidP="00FE4F6D">
      <w:r>
        <w:t xml:space="preserve">•       </w:t>
      </w:r>
      <w:r w:rsidR="00C4697C">
        <w:t>Povertà e diseguaglianze</w:t>
      </w:r>
      <w:r>
        <w:t xml:space="preserve"> </w:t>
      </w:r>
    </w:p>
    <w:p w14:paraId="0B240C95" w14:textId="1A6BD6CA" w:rsidR="00FE4F6D" w:rsidRDefault="00FE4F6D" w:rsidP="00FE4F6D">
      <w:r>
        <w:t xml:space="preserve">•       </w:t>
      </w:r>
      <w:r w:rsidR="00184262">
        <w:t>Mobilità sociale e intergenerazionale</w:t>
      </w:r>
      <w:r>
        <w:t xml:space="preserve"> </w:t>
      </w:r>
    </w:p>
    <w:p w14:paraId="01035659" w14:textId="692C8D86" w:rsidR="00FE4F6D" w:rsidRDefault="00FE4F6D" w:rsidP="00FE4F6D">
      <w:r>
        <w:t xml:space="preserve">•       </w:t>
      </w:r>
      <w:r w:rsidR="005B5E3A">
        <w:t>Diseguaglianza</w:t>
      </w:r>
      <w:r w:rsidR="00184262">
        <w:t xml:space="preserve"> e istruzione </w:t>
      </w:r>
      <w:r>
        <w:t xml:space="preserve"> </w:t>
      </w:r>
    </w:p>
    <w:p w14:paraId="160CDD48" w14:textId="0E625D47" w:rsidR="00FE4F6D" w:rsidRDefault="00FE4F6D" w:rsidP="00FE4F6D">
      <w:r>
        <w:t xml:space="preserve">•       </w:t>
      </w:r>
      <w:r w:rsidR="005B5E3A">
        <w:t>Diseguaglianze di genere</w:t>
      </w:r>
    </w:p>
    <w:p w14:paraId="2C2C1645" w14:textId="3C0D39D5" w:rsidR="00FE4F6D" w:rsidRDefault="00FE4F6D" w:rsidP="00FE4F6D">
      <w:r>
        <w:t xml:space="preserve">•       </w:t>
      </w:r>
      <w:r w:rsidR="005B5E3A">
        <w:t>Di</w:t>
      </w:r>
      <w:r w:rsidR="00814650">
        <w:t>seguaglianza e salute</w:t>
      </w:r>
    </w:p>
    <w:p w14:paraId="325F2D8F" w14:textId="64FEF05B" w:rsidR="00FE4F6D" w:rsidRDefault="00FE4F6D" w:rsidP="00FE4F6D">
      <w:r>
        <w:t xml:space="preserve">•      </w:t>
      </w:r>
      <w:r w:rsidR="00814650">
        <w:t xml:space="preserve"> Diseguaglianza e immigrazione</w:t>
      </w:r>
      <w:r>
        <w:t xml:space="preserve"> </w:t>
      </w:r>
    </w:p>
    <w:p w14:paraId="08638E49" w14:textId="77777777" w:rsidR="00FE4F6D" w:rsidRDefault="00FE4F6D" w:rsidP="00FE4F6D">
      <w:r>
        <w:t xml:space="preserve"> </w:t>
      </w:r>
    </w:p>
    <w:p w14:paraId="1C20F2E6" w14:textId="7C88C27A" w:rsidR="00FE4F6D" w:rsidRDefault="00FE4F6D" w:rsidP="00FE4F6D">
      <w:pPr>
        <w:keepNext/>
        <w:spacing w:before="240" w:after="120"/>
        <w:rPr>
          <w:b/>
          <w:sz w:val="18"/>
        </w:rPr>
      </w:pPr>
      <w:r>
        <w:rPr>
          <w:b/>
          <w:i/>
          <w:sz w:val="18"/>
        </w:rPr>
        <w:t>BIBLIOGRAFIA</w:t>
      </w:r>
    </w:p>
    <w:p w14:paraId="00437036" w14:textId="246B199F" w:rsidR="000473C8" w:rsidRDefault="005F4AC3" w:rsidP="00A63951">
      <w:pPr>
        <w:spacing w:before="120" w:line="240" w:lineRule="auto"/>
        <w:rPr>
          <w:bCs/>
          <w:iCs/>
          <w:smallCaps/>
          <w:sz w:val="18"/>
        </w:rPr>
      </w:pPr>
      <w:r>
        <w:rPr>
          <w:bCs/>
          <w:iCs/>
          <w:smallCaps/>
          <w:sz w:val="18"/>
        </w:rPr>
        <w:t>Libri consigliati:</w:t>
      </w:r>
    </w:p>
    <w:p w14:paraId="42FC9302" w14:textId="7DDC1CA2" w:rsidR="00837F03" w:rsidRPr="000531C9" w:rsidRDefault="003212B0" w:rsidP="00A63951">
      <w:pPr>
        <w:spacing w:before="120" w:line="240" w:lineRule="auto"/>
        <w:rPr>
          <w:bCs/>
          <w:iCs/>
          <w:sz w:val="18"/>
          <w:szCs w:val="18"/>
        </w:rPr>
      </w:pPr>
      <w:r w:rsidRPr="000531C9">
        <w:rPr>
          <w:bCs/>
          <w:iCs/>
          <w:smallCaps/>
          <w:sz w:val="18"/>
        </w:rPr>
        <w:t>Piketty T</w:t>
      </w:r>
      <w:r w:rsidRPr="000531C9">
        <w:rPr>
          <w:bCs/>
          <w:iCs/>
          <w:sz w:val="18"/>
          <w:szCs w:val="18"/>
        </w:rPr>
        <w:t xml:space="preserve">., </w:t>
      </w:r>
      <w:r w:rsidRPr="000531C9">
        <w:rPr>
          <w:bCs/>
          <w:i/>
          <w:sz w:val="18"/>
          <w:szCs w:val="18"/>
        </w:rPr>
        <w:t>Il Capitale nel XXI secolo</w:t>
      </w:r>
      <w:r w:rsidRPr="000531C9">
        <w:rPr>
          <w:bCs/>
          <w:iCs/>
          <w:sz w:val="18"/>
          <w:szCs w:val="18"/>
        </w:rPr>
        <w:t>, Bompiani, 2014, cap. 8, pp. 413-464.</w:t>
      </w:r>
      <w:r w:rsidR="003F16FE">
        <w:rPr>
          <w:bCs/>
          <w:iCs/>
          <w:sz w:val="18"/>
          <w:szCs w:val="18"/>
        </w:rPr>
        <w:t xml:space="preserve"> </w:t>
      </w:r>
      <w:hyperlink r:id="rId9" w:history="1">
        <w:r w:rsidR="003F16FE" w:rsidRPr="003F16FE">
          <w:rPr>
            <w:rStyle w:val="Collegamentoipertestuale"/>
            <w:bCs/>
            <w:iCs/>
            <w:sz w:val="18"/>
            <w:szCs w:val="18"/>
          </w:rPr>
          <w:t>Acquista da V&amp;P</w:t>
        </w:r>
      </w:hyperlink>
    </w:p>
    <w:p w14:paraId="3A19B300" w14:textId="2747128D" w:rsidR="003212B0" w:rsidRPr="000531C9" w:rsidRDefault="003212B0" w:rsidP="00A63951">
      <w:pPr>
        <w:spacing w:before="120" w:line="240" w:lineRule="auto"/>
        <w:rPr>
          <w:bCs/>
          <w:iCs/>
          <w:sz w:val="18"/>
          <w:szCs w:val="18"/>
        </w:rPr>
      </w:pPr>
      <w:r w:rsidRPr="000531C9">
        <w:rPr>
          <w:bCs/>
          <w:iCs/>
          <w:smallCaps/>
          <w:sz w:val="18"/>
          <w:szCs w:val="18"/>
        </w:rPr>
        <w:t>Piketty T</w:t>
      </w:r>
      <w:r w:rsidRPr="000531C9">
        <w:rPr>
          <w:bCs/>
          <w:i/>
          <w:smallCaps/>
          <w:sz w:val="18"/>
          <w:szCs w:val="18"/>
        </w:rPr>
        <w:t>.,</w:t>
      </w:r>
      <w:r w:rsidRPr="000531C9">
        <w:rPr>
          <w:bCs/>
          <w:i/>
          <w:sz w:val="18"/>
          <w:szCs w:val="18"/>
        </w:rPr>
        <w:t xml:space="preserve"> Capitale e Ideologia</w:t>
      </w:r>
      <w:r w:rsidRPr="000531C9">
        <w:rPr>
          <w:bCs/>
          <w:iCs/>
          <w:sz w:val="18"/>
          <w:szCs w:val="18"/>
        </w:rPr>
        <w:t>, La Nave di Teseo,  2020 (alcuni capitoli)</w:t>
      </w:r>
      <w:r w:rsidR="003F16FE">
        <w:rPr>
          <w:bCs/>
          <w:iCs/>
          <w:sz w:val="18"/>
          <w:szCs w:val="18"/>
        </w:rPr>
        <w:t xml:space="preserve"> </w:t>
      </w:r>
      <w:hyperlink r:id="rId10" w:history="1">
        <w:r w:rsidR="003F16FE" w:rsidRPr="003F16FE">
          <w:rPr>
            <w:rStyle w:val="Collegamentoipertestuale"/>
            <w:bCs/>
            <w:iCs/>
            <w:sz w:val="18"/>
            <w:szCs w:val="18"/>
          </w:rPr>
          <w:t>Acquista da V&amp;P</w:t>
        </w:r>
      </w:hyperlink>
    </w:p>
    <w:p w14:paraId="256BE121" w14:textId="6977E3CF" w:rsidR="003212B0" w:rsidRPr="000531C9" w:rsidRDefault="003212B0" w:rsidP="00A63951">
      <w:pPr>
        <w:spacing w:before="120" w:line="240" w:lineRule="auto"/>
        <w:rPr>
          <w:bCs/>
          <w:iCs/>
          <w:sz w:val="18"/>
          <w:szCs w:val="18"/>
        </w:rPr>
      </w:pPr>
      <w:r w:rsidRPr="000531C9">
        <w:rPr>
          <w:bCs/>
          <w:iCs/>
          <w:smallCaps/>
          <w:sz w:val="18"/>
          <w:szCs w:val="18"/>
        </w:rPr>
        <w:t>Franzini M., e Pianta M</w:t>
      </w:r>
      <w:r w:rsidRPr="000531C9">
        <w:rPr>
          <w:bCs/>
          <w:i/>
          <w:sz w:val="18"/>
          <w:szCs w:val="18"/>
        </w:rPr>
        <w:t>., Disuguaglianze. Quante sono, come combatterle</w:t>
      </w:r>
      <w:r w:rsidRPr="000531C9">
        <w:rPr>
          <w:bCs/>
          <w:iCs/>
          <w:sz w:val="18"/>
          <w:szCs w:val="18"/>
        </w:rPr>
        <w:t>, Laterza, 2016, cap. 4.</w:t>
      </w:r>
      <w:r w:rsidR="003F16FE">
        <w:rPr>
          <w:bCs/>
          <w:iCs/>
          <w:sz w:val="18"/>
          <w:szCs w:val="18"/>
        </w:rPr>
        <w:t xml:space="preserve"> </w:t>
      </w:r>
      <w:hyperlink r:id="rId11" w:history="1">
        <w:r w:rsidR="003F16FE" w:rsidRPr="003F16FE">
          <w:rPr>
            <w:rStyle w:val="Collegamentoipertestuale"/>
            <w:bCs/>
            <w:iCs/>
            <w:sz w:val="18"/>
            <w:szCs w:val="18"/>
          </w:rPr>
          <w:t>Acquista da V&amp;P</w:t>
        </w:r>
      </w:hyperlink>
    </w:p>
    <w:p w14:paraId="2599CD9D" w14:textId="1E51CB9A" w:rsidR="00FE4F6D" w:rsidRDefault="00FE4F6D" w:rsidP="00FE4F6D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7DFD3062" w14:textId="42D3082C" w:rsidR="00B24964" w:rsidRPr="00F82D08" w:rsidRDefault="00B571B1" w:rsidP="00F82D08">
      <w:pPr>
        <w:ind w:firstLine="284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 xml:space="preserve">La didattica è in modalità ibrida. </w:t>
      </w:r>
      <w:r w:rsidR="00B24964" w:rsidRPr="00F82D08">
        <w:rPr>
          <w:bCs/>
          <w:iCs/>
          <w:sz w:val="18"/>
          <w:szCs w:val="18"/>
        </w:rPr>
        <w:t>Sono previste lezioni frontali in aula, con proiezione di slide, che verranno fornite agli studenti</w:t>
      </w:r>
      <w:r w:rsidR="0070368F">
        <w:rPr>
          <w:bCs/>
          <w:iCs/>
          <w:sz w:val="18"/>
          <w:szCs w:val="18"/>
        </w:rPr>
        <w:t>, e lezioni frontali registrate da remoto</w:t>
      </w:r>
      <w:r w:rsidR="00B24964" w:rsidRPr="00F82D08">
        <w:rPr>
          <w:bCs/>
          <w:iCs/>
          <w:sz w:val="18"/>
          <w:szCs w:val="18"/>
        </w:rPr>
        <w:t>.</w:t>
      </w:r>
      <w:r w:rsidR="0070368F">
        <w:rPr>
          <w:bCs/>
          <w:iCs/>
          <w:sz w:val="18"/>
          <w:szCs w:val="18"/>
        </w:rPr>
        <w:t xml:space="preserve"> Le lezioni possono essere fruite anche a distanza.</w:t>
      </w:r>
      <w:r w:rsidR="00B24964" w:rsidRPr="00F82D08">
        <w:rPr>
          <w:bCs/>
          <w:iCs/>
          <w:sz w:val="18"/>
          <w:szCs w:val="18"/>
        </w:rPr>
        <w:t xml:space="preserve"> Verrà usata la piattaforma </w:t>
      </w:r>
      <w:proofErr w:type="spellStart"/>
      <w:r w:rsidR="00B24964" w:rsidRPr="00F82D08">
        <w:rPr>
          <w:bCs/>
          <w:iCs/>
          <w:sz w:val="18"/>
          <w:szCs w:val="18"/>
        </w:rPr>
        <w:t>Blackboard</w:t>
      </w:r>
      <w:proofErr w:type="spellEnd"/>
      <w:r w:rsidR="00B24964" w:rsidRPr="00F82D08">
        <w:rPr>
          <w:bCs/>
          <w:iCs/>
          <w:sz w:val="18"/>
          <w:szCs w:val="18"/>
        </w:rPr>
        <w:t>, con caricamento settimanale delle slide necessarie per le lezioni. Si segnala che lo studio delle sole slide è sufficiente al superamento dell’esame.</w:t>
      </w:r>
    </w:p>
    <w:p w14:paraId="454A1D87" w14:textId="77777777" w:rsidR="00F82D08" w:rsidRDefault="00F82D08" w:rsidP="00F82D08">
      <w:pPr>
        <w:spacing w:after="120" w:line="220" w:lineRule="exact"/>
        <w:rPr>
          <w:b/>
          <w:i/>
          <w:sz w:val="18"/>
        </w:rPr>
      </w:pPr>
    </w:p>
    <w:p w14:paraId="0D74F715" w14:textId="1881C408" w:rsidR="00F82D08" w:rsidRDefault="00FE4F6D" w:rsidP="00F82D08">
      <w:pPr>
        <w:spacing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265A1620" w14:textId="5A767D79" w:rsidR="00A544FF" w:rsidRPr="00F82D08" w:rsidRDefault="00B24964" w:rsidP="00F82D08">
      <w:pPr>
        <w:spacing w:after="120" w:line="220" w:lineRule="exact"/>
        <w:ind w:firstLine="284"/>
        <w:rPr>
          <w:b/>
          <w:i/>
          <w:sz w:val="18"/>
          <w:szCs w:val="18"/>
        </w:rPr>
      </w:pPr>
      <w:r w:rsidRPr="00F82D08">
        <w:rPr>
          <w:bCs/>
          <w:iCs/>
          <w:sz w:val="18"/>
          <w:szCs w:val="18"/>
        </w:rPr>
        <w:t xml:space="preserve">L’esame </w:t>
      </w:r>
      <w:r w:rsidR="00B31721">
        <w:rPr>
          <w:bCs/>
          <w:iCs/>
          <w:sz w:val="18"/>
          <w:szCs w:val="18"/>
        </w:rPr>
        <w:t>è principalmente in</w:t>
      </w:r>
      <w:r w:rsidRPr="00F82D08">
        <w:rPr>
          <w:bCs/>
          <w:iCs/>
          <w:sz w:val="18"/>
          <w:szCs w:val="18"/>
        </w:rPr>
        <w:t xml:space="preserve"> forma scritta e include domande aperte volte a testare le conoscenze </w:t>
      </w:r>
      <w:r w:rsidR="00837F03" w:rsidRPr="00F82D08">
        <w:rPr>
          <w:bCs/>
          <w:iCs/>
          <w:sz w:val="18"/>
          <w:szCs w:val="18"/>
        </w:rPr>
        <w:t>teoriche del corso.</w:t>
      </w:r>
      <w:r w:rsidR="00423DFA">
        <w:rPr>
          <w:bCs/>
          <w:iCs/>
          <w:sz w:val="18"/>
          <w:szCs w:val="18"/>
        </w:rPr>
        <w:t xml:space="preserve"> </w:t>
      </w:r>
      <w:r w:rsidR="00B24467">
        <w:rPr>
          <w:bCs/>
          <w:iCs/>
          <w:sz w:val="18"/>
          <w:szCs w:val="18"/>
        </w:rPr>
        <w:t>Alla fine del corso gli studenti possono presentare a  gruppi un articolo tra quelli consigliati dal docente. Tale presentazione, facoltativa, viene valutata e contribuisce al 20%</w:t>
      </w:r>
      <w:r w:rsidR="00B571B1">
        <w:rPr>
          <w:bCs/>
          <w:iCs/>
          <w:sz w:val="18"/>
          <w:szCs w:val="18"/>
        </w:rPr>
        <w:t xml:space="preserve"> </w:t>
      </w:r>
      <w:r w:rsidR="00B24467">
        <w:rPr>
          <w:bCs/>
          <w:iCs/>
          <w:sz w:val="18"/>
          <w:szCs w:val="18"/>
        </w:rPr>
        <w:t>del voto dell'esame finale.</w:t>
      </w:r>
      <w:r w:rsidRPr="00F82D08">
        <w:rPr>
          <w:bCs/>
          <w:iCs/>
          <w:sz w:val="18"/>
          <w:szCs w:val="18"/>
        </w:rPr>
        <w:t xml:space="preserve"> Informazioni dettagliate su</w:t>
      </w:r>
      <w:r w:rsidR="00837F03" w:rsidRPr="00F82D08">
        <w:rPr>
          <w:bCs/>
          <w:iCs/>
          <w:sz w:val="18"/>
          <w:szCs w:val="18"/>
        </w:rPr>
        <w:t>ll’esame</w:t>
      </w:r>
      <w:r w:rsidRPr="00F82D08">
        <w:rPr>
          <w:bCs/>
          <w:iCs/>
          <w:sz w:val="18"/>
          <w:szCs w:val="18"/>
        </w:rPr>
        <w:t xml:space="preserve"> verranno fornit</w:t>
      </w:r>
      <w:r w:rsidR="00837F03" w:rsidRPr="00F82D08">
        <w:rPr>
          <w:bCs/>
          <w:iCs/>
          <w:sz w:val="18"/>
          <w:szCs w:val="18"/>
        </w:rPr>
        <w:t>e</w:t>
      </w:r>
      <w:r w:rsidRPr="00F82D08">
        <w:rPr>
          <w:bCs/>
          <w:iCs/>
          <w:sz w:val="18"/>
          <w:szCs w:val="18"/>
        </w:rPr>
        <w:t xml:space="preserve"> all’inizio del corso.</w:t>
      </w:r>
    </w:p>
    <w:p w14:paraId="0DE7411A" w14:textId="37788A30" w:rsidR="00FE4F6D" w:rsidRDefault="00FE4F6D" w:rsidP="00FE4F6D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45EEF978" w14:textId="13938B40" w:rsidR="00837F03" w:rsidRPr="00FE4F6D" w:rsidRDefault="00837F03" w:rsidP="00F82D08">
      <w:pPr>
        <w:pStyle w:val="Testo2"/>
      </w:pPr>
      <w:r>
        <w:t xml:space="preserve">È indispensabile frequentare attivamente il corso. </w:t>
      </w:r>
    </w:p>
    <w:p w14:paraId="09015E1C" w14:textId="3CE813B2" w:rsidR="00F82D08" w:rsidRPr="00A544FF" w:rsidRDefault="00F82D08" w:rsidP="00F82D08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lastRenderedPageBreak/>
        <w:t>Orario e luogo di ricevimento</w:t>
      </w:r>
      <w:r w:rsidRPr="00A544FF">
        <w:rPr>
          <w:b/>
          <w:i/>
          <w:sz w:val="18"/>
        </w:rPr>
        <w:t xml:space="preserve"> </w:t>
      </w:r>
    </w:p>
    <w:p w14:paraId="14840FC6" w14:textId="68763DF1" w:rsidR="00F82D08" w:rsidRPr="00F82D08" w:rsidRDefault="00F82D08" w:rsidP="00F82D08">
      <w:pPr>
        <w:spacing w:before="240" w:after="120"/>
        <w:rPr>
          <w:bCs/>
          <w:iCs/>
        </w:rPr>
      </w:pPr>
      <w:r w:rsidRPr="00F82D08">
        <w:rPr>
          <w:bCs/>
          <w:iCs/>
        </w:rPr>
        <w:t xml:space="preserve">Il ricevimento degli studenti si tiene telematicamente via Teams previo appuntamento via mail da indirizzare a: </w:t>
      </w:r>
      <w:r w:rsidR="0042112F">
        <w:rPr>
          <w:bCs/>
          <w:iCs/>
        </w:rPr>
        <w:t>selene.ghisolfi</w:t>
      </w:r>
      <w:r w:rsidRPr="00F82D08">
        <w:rPr>
          <w:bCs/>
          <w:iCs/>
        </w:rPr>
        <w:t>@unicatt.it.</w:t>
      </w:r>
    </w:p>
    <w:p w14:paraId="35049D9F" w14:textId="386EB288" w:rsidR="00837F03" w:rsidRPr="00F82D08" w:rsidRDefault="00837F03" w:rsidP="00837F03">
      <w:pPr>
        <w:pStyle w:val="Testo2"/>
        <w:ind w:firstLine="0"/>
        <w:rPr>
          <w:sz w:val="20"/>
        </w:rPr>
      </w:pPr>
    </w:p>
    <w:p w14:paraId="09C3E686" w14:textId="77777777" w:rsidR="000531C9" w:rsidRPr="00FE4F6D" w:rsidRDefault="000531C9" w:rsidP="00837F03">
      <w:pPr>
        <w:pStyle w:val="Testo2"/>
        <w:ind w:firstLine="0"/>
      </w:pPr>
    </w:p>
    <w:sectPr w:rsidR="000531C9" w:rsidRPr="00FE4F6D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3058B"/>
    <w:multiLevelType w:val="hybridMultilevel"/>
    <w:tmpl w:val="C72448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F82F51"/>
    <w:multiLevelType w:val="hybridMultilevel"/>
    <w:tmpl w:val="C0BEB6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2982586">
    <w:abstractNumId w:val="0"/>
  </w:num>
  <w:num w:numId="2" w16cid:durableId="915214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F6D"/>
    <w:rsid w:val="00027801"/>
    <w:rsid w:val="000473C8"/>
    <w:rsid w:val="000531C9"/>
    <w:rsid w:val="00105148"/>
    <w:rsid w:val="00184262"/>
    <w:rsid w:val="00274B35"/>
    <w:rsid w:val="00306DB6"/>
    <w:rsid w:val="003212B0"/>
    <w:rsid w:val="00386E71"/>
    <w:rsid w:val="003D6817"/>
    <w:rsid w:val="003F16FE"/>
    <w:rsid w:val="0040089F"/>
    <w:rsid w:val="0042112F"/>
    <w:rsid w:val="00423DFA"/>
    <w:rsid w:val="0045214C"/>
    <w:rsid w:val="0048615B"/>
    <w:rsid w:val="00507E45"/>
    <w:rsid w:val="005B5E3A"/>
    <w:rsid w:val="005F4AC3"/>
    <w:rsid w:val="0060135F"/>
    <w:rsid w:val="00692A18"/>
    <w:rsid w:val="0070368F"/>
    <w:rsid w:val="00734659"/>
    <w:rsid w:val="007628B6"/>
    <w:rsid w:val="007A5711"/>
    <w:rsid w:val="007D78E6"/>
    <w:rsid w:val="00814650"/>
    <w:rsid w:val="00837F03"/>
    <w:rsid w:val="00883150"/>
    <w:rsid w:val="008A7788"/>
    <w:rsid w:val="008D5D3F"/>
    <w:rsid w:val="008F0373"/>
    <w:rsid w:val="00911C8A"/>
    <w:rsid w:val="009C29C6"/>
    <w:rsid w:val="00A544FF"/>
    <w:rsid w:val="00A63951"/>
    <w:rsid w:val="00AE5A5B"/>
    <w:rsid w:val="00B24467"/>
    <w:rsid w:val="00B24964"/>
    <w:rsid w:val="00B30981"/>
    <w:rsid w:val="00B31721"/>
    <w:rsid w:val="00B571B1"/>
    <w:rsid w:val="00B60492"/>
    <w:rsid w:val="00BB72FB"/>
    <w:rsid w:val="00BC5515"/>
    <w:rsid w:val="00BF6482"/>
    <w:rsid w:val="00C36095"/>
    <w:rsid w:val="00C4697C"/>
    <w:rsid w:val="00D50BF4"/>
    <w:rsid w:val="00E04520"/>
    <w:rsid w:val="00E151DA"/>
    <w:rsid w:val="00E75661"/>
    <w:rsid w:val="00E94B51"/>
    <w:rsid w:val="00E959B8"/>
    <w:rsid w:val="00F47A6F"/>
    <w:rsid w:val="00F82D08"/>
    <w:rsid w:val="00FB69E8"/>
    <w:rsid w:val="00FE4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641D25"/>
  <w15:chartTrackingRefBased/>
  <w15:docId w15:val="{0FF01601-96BE-4298-84F9-3D5A866A5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styleId="Collegamentoipertestuale">
    <w:name w:val="Hyperlink"/>
    <w:basedOn w:val="Carpredefinitoparagrafo"/>
    <w:uiPriority w:val="99"/>
    <w:unhideWhenUsed/>
    <w:rsid w:val="003F16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ibrerie.unicatt.it/scheda-libro/mario-pianta-maurizio-franzini/disuguaglianze-quante-sono-come-combatterle-9788858123782-239999.html?search_string=Disuguaglianze%20quante%20sono&amp;search_results=1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librerie.unicatt.it/scheda-libro/thomas-piketty/capitale-e-ideologia-9788834608562-703186.html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librerie.unicatt.it/scheda-libro/thomas-piketty/il-capitale-nel-xxi-secolo-9788845297458-547238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257E1B-A6C0-4AEE-98EA-8114B0D2999D}">
  <ds:schemaRefs>
    <ds:schemaRef ds:uri="http://schemas.microsoft.com/office/2006/metadata/properties"/>
    <ds:schemaRef ds:uri="http://www.w3.org/2000/xmlns/"/>
    <ds:schemaRef ds:uri="c8ca51ab-ec83-44ac-852f-91d6be2b90ac"/>
    <ds:schemaRef ds:uri="http://schemas.microsoft.com/office/infopath/2007/PartnerControls"/>
    <ds:schemaRef ds:uri="bde9ea70-b558-476b-80ed-adb3bdeea2b5"/>
    <ds:schemaRef ds:uri="http://www.w3.org/2001/XMLSchema-instance"/>
  </ds:schemaRefs>
</ds:datastoreItem>
</file>

<file path=customXml/itemProps2.xml><?xml version="1.0" encoding="utf-8"?>
<ds:datastoreItem xmlns:ds="http://schemas.openxmlformats.org/officeDocument/2006/customXml" ds:itemID="{32FD8C3C-CF34-4483-8B22-38AA029CADBC}"/>
</file>

<file path=customXml/itemProps3.xml><?xml version="1.0" encoding="utf-8"?>
<ds:datastoreItem xmlns:ds="http://schemas.openxmlformats.org/officeDocument/2006/customXml" ds:itemID="{98C505BD-400B-4C65-858D-EFC8604FB1DF}">
  <ds:schemaRefs>
    <ds:schemaRef ds:uri="http://schemas.openxmlformats.org/officeDocument/2006/bibliography"/>
    <ds:schemaRef ds:uri="http://www.w3.org/2000/xmlns/"/>
  </ds:schemaRefs>
</ds:datastoreItem>
</file>

<file path=customXml/itemProps4.xml><?xml version="1.0" encoding="utf-8"?>
<ds:datastoreItem xmlns:ds="http://schemas.openxmlformats.org/officeDocument/2006/customXml" ds:itemID="{71AFD670-02DF-477E-B7EF-89793DDF66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505</Words>
  <Characters>3821</Characters>
  <Application>Microsoft Office Word</Application>
  <DocSecurity>4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Belleri Erica</dc:creator>
  <cp:keywords/>
  <cp:lastModifiedBy>Minessi Andrea</cp:lastModifiedBy>
  <cp:revision>2</cp:revision>
  <cp:lastPrinted>2003-03-27T10:42:00Z</cp:lastPrinted>
  <dcterms:created xsi:type="dcterms:W3CDTF">2025-07-21T12:38:00Z</dcterms:created>
  <dcterms:modified xsi:type="dcterms:W3CDTF">2025-07-21T12:38:00Z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