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CBA04" w14:textId="0D0FCD5F" w:rsidR="00EE4258" w:rsidRPr="00334FA2" w:rsidRDefault="00334FA2" w:rsidP="00D03493">
      <w:pPr>
        <w:pStyle w:val="Titolo1"/>
        <w:spacing w:line="360" w:lineRule="auto"/>
        <w:jc w:val="both"/>
        <w:rPr>
          <w:rFonts w:ascii="Times New Roman" w:hAnsi="Times New Roman"/>
          <w:lang w:val="en-US"/>
        </w:rPr>
      </w:pPr>
      <w:r>
        <w:rPr>
          <w:rFonts w:ascii="Times New Roman" w:hAnsi="Times New Roman"/>
          <w:lang w:val="en-US"/>
        </w:rPr>
        <w:t>Sustainability Strategy and Reporting</w:t>
      </w:r>
    </w:p>
    <w:p w14:paraId="4EB9212A" w14:textId="32E807EB" w:rsidR="00EE4258" w:rsidRPr="00334FA2" w:rsidRDefault="00EE4258" w:rsidP="00D03493">
      <w:pPr>
        <w:pStyle w:val="Titolo2"/>
        <w:spacing w:line="360" w:lineRule="auto"/>
        <w:jc w:val="both"/>
        <w:rPr>
          <w:rFonts w:ascii="Times New Roman" w:hAnsi="Times New Roman"/>
          <w:sz w:val="20"/>
          <w:lang w:val="en-US"/>
        </w:rPr>
      </w:pPr>
      <w:r>
        <w:rPr>
          <w:rFonts w:ascii="Times New Roman" w:hAnsi="Times New Roman"/>
          <w:sz w:val="20"/>
          <w:lang w:val="en-US"/>
        </w:rPr>
        <w:t>Prof. Arianna Molinaroli</w:t>
      </w:r>
    </w:p>
    <w:p w14:paraId="19C6AF50" w14:textId="35BC3DF5" w:rsidR="00023B8A" w:rsidRPr="00C65851" w:rsidRDefault="00023B8A" w:rsidP="00D03493">
      <w:pPr>
        <w:spacing w:before="240" w:after="120" w:line="360" w:lineRule="auto"/>
        <w:rPr>
          <w:rFonts w:ascii="Times New Roman" w:hAnsi="Times New Roman"/>
          <w:b/>
          <w:lang w:val="en-US"/>
        </w:rPr>
      </w:pPr>
      <w:r>
        <w:rPr>
          <w:rFonts w:ascii="Times New Roman" w:hAnsi="Times New Roman"/>
          <w:b/>
          <w:i/>
          <w:lang w:val="en-US"/>
        </w:rPr>
        <w:t>COURSE AIMS AND INTENDED LEARNING OUTCOMES</w:t>
      </w:r>
    </w:p>
    <w:p w14:paraId="0B54A79C" w14:textId="30F29433" w:rsidR="00764DE3" w:rsidRPr="00764DE3" w:rsidRDefault="00334FA2" w:rsidP="00D03493">
      <w:pPr>
        <w:tabs>
          <w:tab w:val="left" w:pos="144"/>
          <w:tab w:val="left" w:pos="864"/>
          <w:tab w:val="left" w:pos="1584"/>
          <w:tab w:val="left" w:pos="2304"/>
          <w:tab w:val="left" w:pos="3024"/>
          <w:tab w:val="left" w:pos="3744"/>
          <w:tab w:val="left" w:pos="4464"/>
          <w:tab w:val="left" w:pos="5184"/>
          <w:tab w:val="left" w:pos="5904"/>
          <w:tab w:val="left" w:pos="6624"/>
        </w:tabs>
        <w:spacing w:after="120" w:line="360" w:lineRule="auto"/>
        <w:rPr>
          <w:rFonts w:ascii="Times New Roman" w:hAnsi="Times New Roman"/>
          <w:lang w:val="en-GB"/>
        </w:rPr>
      </w:pPr>
      <w:r>
        <w:rPr>
          <w:rFonts w:ascii="Times New Roman" w:hAnsi="Times New Roman"/>
          <w:lang w:val="en-GB"/>
        </w:rPr>
        <w:t xml:space="preserve">This course aims to provide students with a comprehensive framework for understanding the main design dimensions of systems for measuring, evaluating, and reporting the non-financial performance of companies. It identifies and discusses the rationale behind the use of non-economic indicators </w:t>
      </w:r>
      <w:proofErr w:type="gramStart"/>
      <w:r>
        <w:rPr>
          <w:rFonts w:ascii="Times New Roman" w:hAnsi="Times New Roman"/>
          <w:lang w:val="en-GB"/>
        </w:rPr>
        <w:t>in order to</w:t>
      </w:r>
      <w:proofErr w:type="gramEnd"/>
      <w:r>
        <w:rPr>
          <w:rFonts w:ascii="Times New Roman" w:hAnsi="Times New Roman"/>
          <w:lang w:val="en-GB"/>
        </w:rPr>
        <w:t xml:space="preserve"> provide a broader and more complete representation of the value generated by a company, encompassing</w:t>
      </w:r>
      <w:r w:rsidR="00C63E79">
        <w:rPr>
          <w:rFonts w:ascii="Times New Roman" w:hAnsi="Times New Roman"/>
          <w:lang w:val="en-GB"/>
        </w:rPr>
        <w:t xml:space="preserve">, </w:t>
      </w:r>
      <w:r>
        <w:rPr>
          <w:rFonts w:ascii="Times New Roman" w:hAnsi="Times New Roman"/>
          <w:lang w:val="en-GB"/>
        </w:rPr>
        <w:t>beyond the economic dimension</w:t>
      </w:r>
      <w:r w:rsidR="00C63E79">
        <w:rPr>
          <w:rFonts w:ascii="Times New Roman" w:hAnsi="Times New Roman"/>
          <w:lang w:val="en-GB"/>
        </w:rPr>
        <w:t xml:space="preserve">, </w:t>
      </w:r>
      <w:r>
        <w:rPr>
          <w:rFonts w:ascii="Times New Roman" w:hAnsi="Times New Roman"/>
          <w:lang w:val="en-GB"/>
        </w:rPr>
        <w:t>the environmental, social, and governance (ESG) dimensions. Through the analysis and discussion of concrete cases, the tools currently available to support an effective measurement and reporting of corporate sustainability performance are progressively examined and explored. The course alternates theoretical lectures, exercises, and group work on real-world cases, fostering a critical and applied understanding of how sustainability commitments are measured, managed, and communicated to stakeholders.</w:t>
      </w:r>
    </w:p>
    <w:p w14:paraId="0F1C3DA9" w14:textId="19CFA37E" w:rsidR="00CD3304" w:rsidRPr="00CD3304" w:rsidRDefault="00CD3304" w:rsidP="00D03493">
      <w:pPr>
        <w:tabs>
          <w:tab w:val="left" w:pos="144"/>
          <w:tab w:val="left" w:pos="864"/>
          <w:tab w:val="left" w:pos="1584"/>
          <w:tab w:val="left" w:pos="2304"/>
          <w:tab w:val="left" w:pos="3024"/>
          <w:tab w:val="left" w:pos="3744"/>
          <w:tab w:val="left" w:pos="4464"/>
          <w:tab w:val="left" w:pos="5184"/>
          <w:tab w:val="left" w:pos="5904"/>
          <w:tab w:val="left" w:pos="6624"/>
        </w:tabs>
        <w:spacing w:after="120" w:line="360" w:lineRule="auto"/>
        <w:rPr>
          <w:rFonts w:ascii="Times New Roman" w:hAnsi="Times New Roman"/>
          <w:lang w:val="en-GB"/>
        </w:rPr>
      </w:pPr>
      <w:r>
        <w:rPr>
          <w:rFonts w:ascii="Times New Roman" w:hAnsi="Times New Roman"/>
          <w:lang w:val="en-GB"/>
        </w:rPr>
        <w:t>At the end of the course the students will be able to:</w:t>
      </w:r>
    </w:p>
    <w:p w14:paraId="5A342939" w14:textId="77777777" w:rsidR="00334FA2" w:rsidRDefault="00334FA2" w:rsidP="00D03493">
      <w:pPr>
        <w:pStyle w:val="Paragrafoelenco"/>
        <w:numPr>
          <w:ilvl w:val="0"/>
          <w:numId w:val="17"/>
        </w:num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568" w:hanging="284"/>
        <w:rPr>
          <w:rFonts w:ascii="Times New Roman" w:hAnsi="Times New Roman"/>
          <w:lang w:val="en-GB"/>
        </w:rPr>
      </w:pPr>
      <w:r>
        <w:rPr>
          <w:rFonts w:ascii="Times New Roman" w:hAnsi="Times New Roman"/>
          <w:lang w:val="en-GB"/>
        </w:rPr>
        <w:t>Identify the main tools and methods for measuring corporate sustainability performance.</w:t>
      </w:r>
    </w:p>
    <w:p w14:paraId="3CF12202" w14:textId="77777777" w:rsidR="00334FA2" w:rsidRDefault="00334FA2" w:rsidP="00D03493">
      <w:pPr>
        <w:pStyle w:val="Paragrafoelenco"/>
        <w:numPr>
          <w:ilvl w:val="0"/>
          <w:numId w:val="17"/>
        </w:num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568" w:hanging="284"/>
        <w:rPr>
          <w:rFonts w:ascii="Times New Roman" w:hAnsi="Times New Roman"/>
          <w:lang w:val="en-GB"/>
        </w:rPr>
      </w:pPr>
      <w:r>
        <w:rPr>
          <w:rFonts w:ascii="Times New Roman" w:hAnsi="Times New Roman"/>
          <w:lang w:val="en-GB"/>
        </w:rPr>
        <w:t>Interpret and critically assess the different ways of reporting sustainability data, in line with current regulations and consolidated reporting standards (GRI, ESRS, IFRS Sustainability Disclosure Standards).</w:t>
      </w:r>
    </w:p>
    <w:p w14:paraId="2BACAFD1" w14:textId="77777777" w:rsidR="00334FA2" w:rsidRDefault="00334FA2" w:rsidP="00D03493">
      <w:pPr>
        <w:pStyle w:val="Paragrafoelenco"/>
        <w:numPr>
          <w:ilvl w:val="0"/>
          <w:numId w:val="17"/>
        </w:num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568" w:hanging="284"/>
        <w:rPr>
          <w:rFonts w:ascii="Times New Roman" w:hAnsi="Times New Roman"/>
          <w:lang w:val="en-GB"/>
        </w:rPr>
      </w:pPr>
      <w:r>
        <w:rPr>
          <w:rFonts w:ascii="Times New Roman" w:hAnsi="Times New Roman"/>
          <w:lang w:val="en-GB"/>
        </w:rPr>
        <w:t>Discuss and apply, across different contexts, the main approaches to communicating social and environmental performance.</w:t>
      </w:r>
    </w:p>
    <w:p w14:paraId="5E3B5A2C" w14:textId="77777777" w:rsidR="00334FA2" w:rsidRDefault="00334FA2" w:rsidP="00D03493">
      <w:pPr>
        <w:pStyle w:val="Paragrafoelenco"/>
        <w:numPr>
          <w:ilvl w:val="0"/>
          <w:numId w:val="17"/>
        </w:num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568" w:hanging="284"/>
        <w:rPr>
          <w:rFonts w:ascii="Times New Roman" w:hAnsi="Times New Roman"/>
          <w:lang w:val="en-GB"/>
        </w:rPr>
      </w:pPr>
      <w:r>
        <w:rPr>
          <w:rFonts w:ascii="Times New Roman" w:hAnsi="Times New Roman"/>
          <w:lang w:val="en-GB"/>
        </w:rPr>
        <w:lastRenderedPageBreak/>
        <w:t>Map and navigate the strategic and operational dynamics related to specific ESG topics required by current regulations.</w:t>
      </w:r>
    </w:p>
    <w:p w14:paraId="4A613755" w14:textId="77777777" w:rsidR="00334FA2" w:rsidRDefault="00334FA2" w:rsidP="00D03493">
      <w:pPr>
        <w:pStyle w:val="Paragrafoelenco"/>
        <w:numPr>
          <w:ilvl w:val="0"/>
          <w:numId w:val="17"/>
        </w:num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568" w:hanging="284"/>
        <w:rPr>
          <w:rFonts w:ascii="Times New Roman" w:hAnsi="Times New Roman"/>
          <w:lang w:val="en-GB"/>
        </w:rPr>
      </w:pPr>
      <w:r>
        <w:rPr>
          <w:rFonts w:ascii="Times New Roman" w:hAnsi="Times New Roman"/>
          <w:lang w:val="en-GB"/>
        </w:rPr>
        <w:t>Propose and evaluate corporate strategies and practices aimed at addressing corporate transparency on sustainability matters.</w:t>
      </w:r>
    </w:p>
    <w:p w14:paraId="6CC428A7" w14:textId="77777777" w:rsidR="00334FA2" w:rsidRDefault="00334FA2" w:rsidP="00D03493">
      <w:pPr>
        <w:pStyle w:val="Paragrafoelenco"/>
        <w:numPr>
          <w:ilvl w:val="0"/>
          <w:numId w:val="17"/>
        </w:num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568" w:hanging="284"/>
        <w:rPr>
          <w:rFonts w:ascii="Times New Roman" w:hAnsi="Times New Roman"/>
          <w:lang w:val="en-GB"/>
        </w:rPr>
      </w:pPr>
      <w:r>
        <w:rPr>
          <w:rFonts w:ascii="Times New Roman" w:hAnsi="Times New Roman"/>
          <w:lang w:val="en-GB"/>
        </w:rPr>
        <w:t>Develop an analytical reflection on the relationship between the company and the various actors of civil society, grasping the nuances of corporate practices in terms of their impact on the market, profit, business development, and people.</w:t>
      </w:r>
    </w:p>
    <w:p w14:paraId="36015424" w14:textId="0E6DDA2F" w:rsidR="00CD3304" w:rsidRDefault="00334FA2" w:rsidP="00D03493">
      <w:pPr>
        <w:pStyle w:val="Paragrafoelenco"/>
        <w:numPr>
          <w:ilvl w:val="0"/>
          <w:numId w:val="17"/>
        </w:num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568" w:hanging="284"/>
        <w:rPr>
          <w:rFonts w:ascii="Times New Roman" w:hAnsi="Times New Roman"/>
          <w:lang w:val="en-GB"/>
        </w:rPr>
      </w:pPr>
      <w:r>
        <w:rPr>
          <w:rFonts w:ascii="Times New Roman" w:hAnsi="Times New Roman"/>
          <w:lang w:val="en-GB"/>
        </w:rPr>
        <w:t>Exercise critical thinking in examining the implications and impacts of corporate communication on social and environmental issues, identifying gaps, trade-offs, and opportunities within sustainability measurement, control, and disclosure practices.</w:t>
      </w:r>
    </w:p>
    <w:p w14:paraId="2757E949" w14:textId="77777777" w:rsidR="00D03493" w:rsidRPr="00334FA2" w:rsidRDefault="00D03493" w:rsidP="00D03493">
      <w:pPr>
        <w:pStyle w:val="Paragrafoelenco"/>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568"/>
        <w:rPr>
          <w:rFonts w:ascii="Times New Roman" w:hAnsi="Times New Roman"/>
          <w:lang w:val="en-GB"/>
        </w:rPr>
      </w:pPr>
    </w:p>
    <w:p w14:paraId="68BEFD0A" w14:textId="17D3D193" w:rsidR="00EE4258" w:rsidRPr="002D74F8" w:rsidRDefault="00EE4258" w:rsidP="00D03493">
      <w:pPr>
        <w:spacing w:before="240" w:after="120" w:line="360" w:lineRule="auto"/>
        <w:rPr>
          <w:rFonts w:ascii="Times New Roman" w:hAnsi="Times New Roman"/>
          <w:b/>
          <w:lang w:val="en-GB"/>
        </w:rPr>
      </w:pPr>
      <w:r>
        <w:rPr>
          <w:rFonts w:ascii="Times New Roman" w:hAnsi="Times New Roman"/>
          <w:b/>
          <w:i/>
          <w:lang w:val="en-GB"/>
        </w:rPr>
        <w:t>COURSE CONTENT</w:t>
      </w:r>
    </w:p>
    <w:p w14:paraId="01FE4E17" w14:textId="4671CEC8" w:rsidR="00EE4258" w:rsidRPr="007C21BA" w:rsidRDefault="00334FA2" w:rsidP="00D03493">
      <w:pPr>
        <w:tabs>
          <w:tab w:val="left" w:pos="144"/>
          <w:tab w:val="left" w:pos="864"/>
          <w:tab w:val="left" w:pos="1584"/>
          <w:tab w:val="left" w:pos="2304"/>
          <w:tab w:val="left" w:pos="3024"/>
          <w:tab w:val="left" w:pos="3744"/>
          <w:tab w:val="left" w:pos="4464"/>
          <w:tab w:val="left" w:pos="5184"/>
          <w:tab w:val="left" w:pos="5904"/>
          <w:tab w:val="left" w:pos="6624"/>
        </w:tabs>
        <w:spacing w:after="120" w:line="360" w:lineRule="auto"/>
        <w:rPr>
          <w:rFonts w:ascii="Times New Roman" w:hAnsi="Times New Roman"/>
          <w:lang w:val="en-GB"/>
        </w:rPr>
      </w:pPr>
      <w:r>
        <w:rPr>
          <w:rFonts w:ascii="Times New Roman" w:hAnsi="Times New Roman"/>
          <w:lang w:val="en-GB"/>
        </w:rPr>
        <w:t>The course explores the following thematic units:</w:t>
      </w:r>
    </w:p>
    <w:p w14:paraId="695BDFE4" w14:textId="1C3379AF" w:rsidR="00782F5D" w:rsidRPr="00867F0C" w:rsidRDefault="00334FA2" w:rsidP="00D03493">
      <w:pPr>
        <w:numPr>
          <w:ilvl w:val="0"/>
          <w:numId w:val="9"/>
        </w:numPr>
        <w:tabs>
          <w:tab w:val="left" w:pos="144"/>
          <w:tab w:val="left" w:pos="864"/>
          <w:tab w:val="left" w:pos="1584"/>
          <w:tab w:val="left" w:pos="2304"/>
          <w:tab w:val="left" w:pos="3024"/>
          <w:tab w:val="left" w:pos="3744"/>
          <w:tab w:val="left" w:pos="4464"/>
          <w:tab w:val="left" w:pos="5184"/>
          <w:tab w:val="left" w:pos="5904"/>
          <w:tab w:val="left" w:pos="6624"/>
        </w:tabs>
        <w:spacing w:after="60" w:line="360" w:lineRule="auto"/>
        <w:ind w:left="567"/>
        <w:rPr>
          <w:rFonts w:ascii="Times New Roman" w:hAnsi="Times New Roman"/>
          <w:lang w:val="en-GB"/>
        </w:rPr>
      </w:pPr>
      <w:r>
        <w:rPr>
          <w:rFonts w:ascii="Times New Roman" w:hAnsi="Times New Roman"/>
          <w:lang w:val="en-GB"/>
        </w:rPr>
        <w:t>Measurement and Evaluation of Non-Financial Performance: Theoretical Framework and Links with Corporate Operating Systems</w:t>
      </w:r>
    </w:p>
    <w:p w14:paraId="04A91695" w14:textId="0A60D5B8" w:rsidR="00782F5D" w:rsidRPr="007C21BA" w:rsidRDefault="00334FA2" w:rsidP="00D03493">
      <w:pPr>
        <w:numPr>
          <w:ilvl w:val="0"/>
          <w:numId w:val="9"/>
        </w:numPr>
        <w:tabs>
          <w:tab w:val="left" w:pos="144"/>
          <w:tab w:val="left" w:pos="864"/>
          <w:tab w:val="left" w:pos="1584"/>
          <w:tab w:val="left" w:pos="2304"/>
          <w:tab w:val="left" w:pos="3024"/>
          <w:tab w:val="left" w:pos="3744"/>
          <w:tab w:val="left" w:pos="4464"/>
          <w:tab w:val="left" w:pos="5184"/>
          <w:tab w:val="left" w:pos="5904"/>
          <w:tab w:val="left" w:pos="6624"/>
        </w:tabs>
        <w:spacing w:after="60" w:line="360" w:lineRule="auto"/>
        <w:ind w:left="567"/>
        <w:rPr>
          <w:rFonts w:ascii="Times New Roman" w:hAnsi="Times New Roman"/>
          <w:lang w:val="en-GB"/>
        </w:rPr>
      </w:pPr>
      <w:r w:rsidRPr="00F23726">
        <w:rPr>
          <w:rFonts w:ascii="Times New Roman" w:hAnsi="Times New Roman"/>
          <w:lang w:val="en-US"/>
        </w:rPr>
        <w:t>The Integration of ESG Variables into Internal and External Corporate Decision-Making Processes and the Sustainable Development Goals (SDGs)</w:t>
      </w:r>
    </w:p>
    <w:p w14:paraId="65D40E85" w14:textId="6CEC405B" w:rsidR="00782F5D" w:rsidRPr="007C21BA" w:rsidRDefault="00334FA2" w:rsidP="00D03493">
      <w:pPr>
        <w:numPr>
          <w:ilvl w:val="0"/>
          <w:numId w:val="9"/>
        </w:numPr>
        <w:tabs>
          <w:tab w:val="left" w:pos="144"/>
          <w:tab w:val="left" w:pos="864"/>
          <w:tab w:val="left" w:pos="1584"/>
          <w:tab w:val="left" w:pos="2304"/>
          <w:tab w:val="left" w:pos="3024"/>
          <w:tab w:val="left" w:pos="3744"/>
          <w:tab w:val="left" w:pos="4464"/>
          <w:tab w:val="left" w:pos="5184"/>
          <w:tab w:val="left" w:pos="5904"/>
          <w:tab w:val="left" w:pos="6624"/>
        </w:tabs>
        <w:spacing w:after="60" w:line="360" w:lineRule="auto"/>
        <w:ind w:left="567"/>
        <w:rPr>
          <w:rFonts w:ascii="Times New Roman" w:hAnsi="Times New Roman"/>
          <w:lang w:val="en-GB"/>
        </w:rPr>
      </w:pPr>
      <w:r>
        <w:rPr>
          <w:rFonts w:ascii="Times New Roman" w:hAnsi="Times New Roman"/>
          <w:lang w:val="en-US"/>
        </w:rPr>
        <w:t xml:space="preserve">The Evolution of the Regulatory Framework: </w:t>
      </w:r>
      <w:r w:rsidR="00C63E79" w:rsidRPr="00C63E79">
        <w:rPr>
          <w:lang w:val="en-US"/>
        </w:rPr>
        <w:t xml:space="preserve">Non-Financial Reporting Directive </w:t>
      </w:r>
      <w:r w:rsidR="00C63E79">
        <w:rPr>
          <w:lang w:val="en-US"/>
        </w:rPr>
        <w:t xml:space="preserve">(NFRD), </w:t>
      </w:r>
      <w:r>
        <w:rPr>
          <w:rFonts w:ascii="Times New Roman" w:hAnsi="Times New Roman"/>
          <w:lang w:val="en-US"/>
        </w:rPr>
        <w:t>Corporate Sustainability Reporting Directive (CSRD), the European Taxonomy Reg. (EU) 2020/852, and the Sustainable Finance Disclosure Regulation (SFDR)</w:t>
      </w:r>
    </w:p>
    <w:p w14:paraId="133DED98" w14:textId="4688B66F" w:rsidR="00782F5D" w:rsidRDefault="00334FA2" w:rsidP="00D03493">
      <w:pPr>
        <w:numPr>
          <w:ilvl w:val="0"/>
          <w:numId w:val="9"/>
        </w:numPr>
        <w:tabs>
          <w:tab w:val="left" w:pos="144"/>
          <w:tab w:val="left" w:pos="864"/>
          <w:tab w:val="left" w:pos="1584"/>
          <w:tab w:val="left" w:pos="2304"/>
          <w:tab w:val="left" w:pos="3024"/>
          <w:tab w:val="left" w:pos="3744"/>
          <w:tab w:val="left" w:pos="4464"/>
          <w:tab w:val="left" w:pos="5184"/>
          <w:tab w:val="left" w:pos="5904"/>
          <w:tab w:val="left" w:pos="6624"/>
        </w:tabs>
        <w:spacing w:after="60" w:line="360" w:lineRule="auto"/>
        <w:ind w:left="567"/>
        <w:rPr>
          <w:rFonts w:ascii="Times New Roman" w:hAnsi="Times New Roman"/>
          <w:lang w:val="en-GB"/>
        </w:rPr>
      </w:pPr>
      <w:r>
        <w:rPr>
          <w:rFonts w:ascii="Times New Roman" w:hAnsi="Times New Roman"/>
          <w:lang w:val="en-US"/>
        </w:rPr>
        <w:t>The European Sustainability Reporting Framework: CSRD and the European Sustainability Reporting Standards (ESRS)</w:t>
      </w:r>
    </w:p>
    <w:p w14:paraId="62ECB7C1" w14:textId="09BDC7D3" w:rsidR="00782F5D" w:rsidRPr="00944B3C" w:rsidRDefault="00334FA2" w:rsidP="00D03493">
      <w:pPr>
        <w:numPr>
          <w:ilvl w:val="0"/>
          <w:numId w:val="9"/>
        </w:numPr>
        <w:tabs>
          <w:tab w:val="left" w:pos="144"/>
          <w:tab w:val="left" w:pos="864"/>
          <w:tab w:val="left" w:pos="1584"/>
          <w:tab w:val="left" w:pos="2304"/>
          <w:tab w:val="left" w:pos="3024"/>
          <w:tab w:val="left" w:pos="3744"/>
          <w:tab w:val="left" w:pos="4464"/>
          <w:tab w:val="left" w:pos="5184"/>
          <w:tab w:val="left" w:pos="5904"/>
          <w:tab w:val="left" w:pos="6624"/>
        </w:tabs>
        <w:spacing w:after="60" w:line="360" w:lineRule="auto"/>
        <w:ind w:left="567"/>
        <w:rPr>
          <w:rFonts w:ascii="Times New Roman" w:hAnsi="Times New Roman"/>
          <w:lang w:val="en-GB"/>
        </w:rPr>
      </w:pPr>
      <w:r>
        <w:rPr>
          <w:rFonts w:ascii="Times New Roman" w:hAnsi="Times New Roman"/>
          <w:lang w:val="en-US"/>
        </w:rPr>
        <w:lastRenderedPageBreak/>
        <w:t>Sustainability Reporting Standards and Frameworks: Global Reporting Initiative (GRI), GHG Protocol, and Integrated Reporting (IR)</w:t>
      </w:r>
    </w:p>
    <w:p w14:paraId="2E525C27" w14:textId="749030E3" w:rsidR="00782F5D" w:rsidRPr="00D46BD5" w:rsidRDefault="00334FA2" w:rsidP="00D03493">
      <w:pPr>
        <w:numPr>
          <w:ilvl w:val="0"/>
          <w:numId w:val="9"/>
        </w:numPr>
        <w:tabs>
          <w:tab w:val="left" w:pos="144"/>
          <w:tab w:val="left" w:pos="864"/>
          <w:tab w:val="left" w:pos="1584"/>
          <w:tab w:val="left" w:pos="2304"/>
          <w:tab w:val="left" w:pos="3024"/>
          <w:tab w:val="left" w:pos="3744"/>
          <w:tab w:val="left" w:pos="4464"/>
          <w:tab w:val="left" w:pos="5184"/>
          <w:tab w:val="left" w:pos="5904"/>
          <w:tab w:val="left" w:pos="6624"/>
        </w:tabs>
        <w:spacing w:after="60" w:line="360" w:lineRule="auto"/>
        <w:ind w:left="567"/>
        <w:rPr>
          <w:rFonts w:ascii="Times New Roman" w:hAnsi="Times New Roman"/>
          <w:lang w:val="en-GB"/>
        </w:rPr>
      </w:pPr>
      <w:r>
        <w:rPr>
          <w:rFonts w:ascii="Times New Roman" w:hAnsi="Times New Roman"/>
          <w:lang w:val="en-US"/>
        </w:rPr>
        <w:t>Double Materiality and the Identification of Material Sustainability Topics</w:t>
      </w:r>
    </w:p>
    <w:p w14:paraId="28A6135E" w14:textId="5163F01D" w:rsidR="00782F5D" w:rsidRPr="007C21BA" w:rsidRDefault="00334FA2" w:rsidP="00D03493">
      <w:pPr>
        <w:numPr>
          <w:ilvl w:val="0"/>
          <w:numId w:val="9"/>
        </w:numPr>
        <w:tabs>
          <w:tab w:val="left" w:pos="144"/>
          <w:tab w:val="left" w:pos="864"/>
          <w:tab w:val="left" w:pos="1584"/>
          <w:tab w:val="left" w:pos="2304"/>
          <w:tab w:val="left" w:pos="3024"/>
          <w:tab w:val="left" w:pos="3744"/>
          <w:tab w:val="left" w:pos="4464"/>
          <w:tab w:val="left" w:pos="5184"/>
          <w:tab w:val="left" w:pos="5904"/>
          <w:tab w:val="left" w:pos="6624"/>
        </w:tabs>
        <w:spacing w:after="60" w:line="360" w:lineRule="auto"/>
        <w:ind w:left="567"/>
        <w:rPr>
          <w:rFonts w:ascii="Times New Roman" w:hAnsi="Times New Roman"/>
          <w:lang w:val="en-GB"/>
        </w:rPr>
      </w:pPr>
      <w:r>
        <w:rPr>
          <w:rFonts w:ascii="Times New Roman" w:hAnsi="Times New Roman"/>
          <w:lang w:val="en-US"/>
        </w:rPr>
        <w:t xml:space="preserve">Reporting for </w:t>
      </w:r>
      <w:proofErr w:type="gramStart"/>
      <w:r>
        <w:rPr>
          <w:rFonts w:ascii="Times New Roman" w:hAnsi="Times New Roman"/>
          <w:lang w:val="en-US"/>
        </w:rPr>
        <w:t>Non-Listed</w:t>
      </w:r>
      <w:proofErr w:type="gramEnd"/>
      <w:r>
        <w:rPr>
          <w:rFonts w:ascii="Times New Roman" w:hAnsi="Times New Roman"/>
          <w:lang w:val="en-US"/>
        </w:rPr>
        <w:t xml:space="preserve"> SMEs: the Voluntary Standard for non-listed SMEs (VSME)</w:t>
      </w:r>
    </w:p>
    <w:p w14:paraId="0641D6C4" w14:textId="7A2A46C1" w:rsidR="00782F5D" w:rsidRPr="007C21BA" w:rsidRDefault="00334FA2" w:rsidP="00D03493">
      <w:pPr>
        <w:numPr>
          <w:ilvl w:val="0"/>
          <w:numId w:val="9"/>
        </w:numPr>
        <w:tabs>
          <w:tab w:val="left" w:pos="144"/>
          <w:tab w:val="left" w:pos="864"/>
          <w:tab w:val="left" w:pos="1584"/>
          <w:tab w:val="left" w:pos="2304"/>
          <w:tab w:val="left" w:pos="3024"/>
          <w:tab w:val="left" w:pos="3744"/>
          <w:tab w:val="left" w:pos="4464"/>
          <w:tab w:val="left" w:pos="5184"/>
          <w:tab w:val="left" w:pos="5904"/>
          <w:tab w:val="left" w:pos="6624"/>
        </w:tabs>
        <w:spacing w:after="60" w:line="360" w:lineRule="auto"/>
        <w:ind w:left="567"/>
        <w:rPr>
          <w:rFonts w:ascii="Times New Roman" w:hAnsi="Times New Roman"/>
          <w:lang w:val="en-GB"/>
        </w:rPr>
      </w:pPr>
      <w:r>
        <w:rPr>
          <w:rFonts w:ascii="Times New Roman" w:hAnsi="Times New Roman"/>
          <w:lang w:val="en-US"/>
        </w:rPr>
        <w:t>Sustainability Reporting in Practice: Analysis and Discussion of Real-World Cases from European Companies</w:t>
      </w:r>
    </w:p>
    <w:p w14:paraId="26D8D9F9" w14:textId="51C743EF" w:rsidR="00782F5D" w:rsidRPr="007C21BA" w:rsidRDefault="009477A4" w:rsidP="00D03493">
      <w:pPr>
        <w:numPr>
          <w:ilvl w:val="0"/>
          <w:numId w:val="9"/>
        </w:num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567"/>
        <w:rPr>
          <w:rFonts w:ascii="Times New Roman" w:hAnsi="Times New Roman"/>
          <w:lang w:val="en-GB"/>
        </w:rPr>
      </w:pPr>
      <w:r>
        <w:rPr>
          <w:rFonts w:ascii="Times New Roman" w:hAnsi="Times New Roman"/>
          <w:lang w:val="en-US"/>
        </w:rPr>
        <w:t>Group Exercises and Discussion of Reporting Practices</w:t>
      </w:r>
    </w:p>
    <w:p w14:paraId="143C2764" w14:textId="77777777" w:rsidR="003D1A5A" w:rsidRPr="009477A4" w:rsidRDefault="003D1A5A" w:rsidP="00D03493">
      <w:pPr>
        <w:pStyle w:val="Testo1"/>
        <w:spacing w:line="360" w:lineRule="auto"/>
        <w:rPr>
          <w:rFonts w:ascii="Times New Roman" w:hAnsi="Times New Roman"/>
          <w:noProof w:val="0"/>
          <w:sz w:val="20"/>
          <w:lang w:val="en-US"/>
        </w:rPr>
      </w:pPr>
    </w:p>
    <w:p w14:paraId="776D4928" w14:textId="77777777" w:rsidR="003D1A5A" w:rsidRDefault="003D1A5A" w:rsidP="00D03493">
      <w:pPr>
        <w:pStyle w:val="Testo1"/>
        <w:spacing w:line="360" w:lineRule="auto"/>
        <w:rPr>
          <w:rFonts w:ascii="Times New Roman" w:hAnsi="Times New Roman"/>
          <w:b/>
          <w:i/>
          <w:noProof w:val="0"/>
          <w:sz w:val="20"/>
          <w:lang w:val="en-US"/>
        </w:rPr>
      </w:pPr>
      <w:r>
        <w:rPr>
          <w:rFonts w:ascii="Times New Roman" w:hAnsi="Times New Roman"/>
          <w:b/>
          <w:i/>
          <w:noProof w:val="0"/>
          <w:sz w:val="20"/>
          <w:lang w:val="en-US"/>
        </w:rPr>
        <w:t>BIBLIOGRAPHY</w:t>
      </w:r>
    </w:p>
    <w:p w14:paraId="4194E2DD" w14:textId="450B5E5A" w:rsidR="00D03493" w:rsidRDefault="009477A4" w:rsidP="00D03493">
      <w:pPr>
        <w:pStyle w:val="Testo1"/>
        <w:spacing w:line="360" w:lineRule="auto"/>
        <w:ind w:left="0" w:firstLine="0"/>
        <w:rPr>
          <w:rFonts w:ascii="Times New Roman" w:hAnsi="Times New Roman"/>
          <w:noProof w:val="0"/>
          <w:sz w:val="20"/>
          <w:lang w:val="en-GB"/>
        </w:rPr>
      </w:pPr>
      <w:r w:rsidRPr="007C6FD8">
        <w:rPr>
          <w:rFonts w:ascii="Times New Roman" w:hAnsi="Times New Roman"/>
          <w:noProof w:val="0"/>
          <w:sz w:val="20"/>
          <w:lang w:val="en-GB"/>
        </w:rPr>
        <w:t xml:space="preserve">Hasan, R. (2025). </w:t>
      </w:r>
      <w:r w:rsidRPr="00D03493">
        <w:rPr>
          <w:rFonts w:ascii="Times New Roman" w:hAnsi="Times New Roman"/>
          <w:i/>
          <w:noProof w:val="0"/>
          <w:sz w:val="20"/>
          <w:lang w:val="en-GB"/>
        </w:rPr>
        <w:t>Sustainability Accounting and Reporting: Theory and Practice</w:t>
      </w:r>
      <w:r w:rsidRPr="007C6FD8">
        <w:rPr>
          <w:rFonts w:ascii="Times New Roman" w:hAnsi="Times New Roman"/>
          <w:noProof w:val="0"/>
          <w:sz w:val="20"/>
          <w:lang w:val="en-GB"/>
        </w:rPr>
        <w:t>. Routledge</w:t>
      </w:r>
      <w:r>
        <w:rPr>
          <w:rFonts w:ascii="Times New Roman" w:hAnsi="Times New Roman"/>
          <w:noProof w:val="0"/>
          <w:sz w:val="20"/>
          <w:lang w:val="en-GB"/>
        </w:rPr>
        <w:t>.</w:t>
      </w:r>
    </w:p>
    <w:p w14:paraId="4EE936B4" w14:textId="5620C0E5" w:rsidR="00F23726" w:rsidRPr="007C6FD8" w:rsidRDefault="00F23726" w:rsidP="00C63E79">
      <w:pPr>
        <w:pStyle w:val="Testo1"/>
        <w:spacing w:before="240" w:line="360" w:lineRule="auto"/>
        <w:ind w:left="0" w:firstLine="0"/>
        <w:rPr>
          <w:rFonts w:ascii="Times New Roman" w:hAnsi="Times New Roman"/>
          <w:noProof w:val="0"/>
          <w:sz w:val="20"/>
          <w:lang w:val="en-GB"/>
        </w:rPr>
      </w:pPr>
      <w:r w:rsidRPr="007C6FD8">
        <w:rPr>
          <w:rFonts w:ascii="Times New Roman" w:hAnsi="Times New Roman"/>
          <w:noProof w:val="0"/>
          <w:sz w:val="20"/>
          <w:lang w:val="en-GB"/>
        </w:rPr>
        <w:t xml:space="preserve">Global Reporting Initiative (GRI). (2021a). </w:t>
      </w:r>
      <w:r w:rsidRPr="00D03493">
        <w:rPr>
          <w:rFonts w:ascii="Times New Roman" w:hAnsi="Times New Roman"/>
          <w:i/>
          <w:noProof w:val="0"/>
          <w:sz w:val="20"/>
          <w:lang w:val="en-GB"/>
        </w:rPr>
        <w:t>GRI 1: Foundation 2021</w:t>
      </w:r>
      <w:r w:rsidRPr="007C6FD8">
        <w:rPr>
          <w:rFonts w:ascii="Times New Roman" w:hAnsi="Times New Roman"/>
          <w:noProof w:val="0"/>
          <w:sz w:val="20"/>
          <w:lang w:val="en-GB"/>
        </w:rPr>
        <w:t>. https://www.globalreporting.org/how-to-use-the-gri-standards/gri-standards-english-language/</w:t>
      </w:r>
    </w:p>
    <w:p w14:paraId="63E46BD5" w14:textId="77777777" w:rsidR="00F23726" w:rsidRPr="00D03493" w:rsidRDefault="00F23726" w:rsidP="00C63E79">
      <w:pPr>
        <w:pStyle w:val="Testo1"/>
        <w:spacing w:before="240" w:line="360" w:lineRule="auto"/>
        <w:rPr>
          <w:rFonts w:ascii="Times New Roman" w:hAnsi="Times New Roman"/>
          <w:i/>
          <w:noProof w:val="0"/>
          <w:sz w:val="20"/>
          <w:lang w:val="en-GB"/>
        </w:rPr>
      </w:pPr>
      <w:r w:rsidRPr="007C6FD8">
        <w:rPr>
          <w:rFonts w:ascii="Times New Roman" w:hAnsi="Times New Roman"/>
          <w:noProof w:val="0"/>
          <w:sz w:val="20"/>
          <w:lang w:val="en-GB"/>
        </w:rPr>
        <w:t xml:space="preserve">Global Reporting Initiative (GRI). (2021b). </w:t>
      </w:r>
      <w:r w:rsidRPr="00D03493">
        <w:rPr>
          <w:rFonts w:ascii="Times New Roman" w:hAnsi="Times New Roman"/>
          <w:i/>
          <w:noProof w:val="0"/>
          <w:sz w:val="20"/>
          <w:lang w:val="en-GB"/>
        </w:rPr>
        <w:t>GRI 3 Material Topics</w:t>
      </w:r>
    </w:p>
    <w:p w14:paraId="0A013B13" w14:textId="619838DE" w:rsidR="00F23726" w:rsidRPr="007C6FD8" w:rsidRDefault="00F23726" w:rsidP="00D03493">
      <w:pPr>
        <w:pStyle w:val="Testo1"/>
        <w:spacing w:line="360" w:lineRule="auto"/>
        <w:rPr>
          <w:rFonts w:ascii="Times New Roman" w:hAnsi="Times New Roman"/>
          <w:noProof w:val="0"/>
          <w:sz w:val="20"/>
          <w:lang w:val="en-GB"/>
        </w:rPr>
      </w:pPr>
      <w:r w:rsidRPr="00D03493">
        <w:rPr>
          <w:rFonts w:ascii="Times New Roman" w:hAnsi="Times New Roman"/>
          <w:i/>
          <w:noProof w:val="0"/>
          <w:sz w:val="20"/>
          <w:lang w:val="en-GB"/>
        </w:rPr>
        <w:t>2021</w:t>
      </w:r>
      <w:r w:rsidRPr="007C6FD8">
        <w:rPr>
          <w:rFonts w:ascii="Times New Roman" w:hAnsi="Times New Roman"/>
          <w:noProof w:val="0"/>
          <w:sz w:val="20"/>
          <w:lang w:val="en-GB"/>
        </w:rPr>
        <w:t>. https://www.globalreporting.org/how-to-use-the-gri-standards/gri-standards-english-language/</w:t>
      </w:r>
    </w:p>
    <w:p w14:paraId="6C43FB27" w14:textId="77777777" w:rsidR="00F23726" w:rsidRPr="007C6FD8" w:rsidRDefault="00F23726" w:rsidP="00C63E79">
      <w:pPr>
        <w:pStyle w:val="Testo1"/>
        <w:spacing w:before="240" w:line="360" w:lineRule="auto"/>
        <w:rPr>
          <w:rFonts w:ascii="Times New Roman" w:hAnsi="Times New Roman"/>
          <w:noProof w:val="0"/>
          <w:sz w:val="20"/>
          <w:lang w:val="en-GB"/>
        </w:rPr>
      </w:pPr>
      <w:r w:rsidRPr="007C6FD8">
        <w:rPr>
          <w:rFonts w:ascii="Times New Roman" w:hAnsi="Times New Roman"/>
          <w:noProof w:val="0"/>
          <w:sz w:val="20"/>
          <w:lang w:val="en-GB"/>
        </w:rPr>
        <w:t>Global Reporting Initiative (GRI) and Sustainability Accounting Standards Board</w:t>
      </w:r>
    </w:p>
    <w:p w14:paraId="0706EA4D" w14:textId="77777777" w:rsidR="00F23726" w:rsidRPr="00D03493" w:rsidRDefault="00F23726" w:rsidP="00D03493">
      <w:pPr>
        <w:pStyle w:val="Testo1"/>
        <w:spacing w:line="360" w:lineRule="auto"/>
        <w:rPr>
          <w:rFonts w:ascii="Times New Roman" w:hAnsi="Times New Roman"/>
          <w:i/>
          <w:noProof w:val="0"/>
          <w:sz w:val="20"/>
          <w:lang w:val="en-GB"/>
        </w:rPr>
      </w:pPr>
      <w:r w:rsidRPr="007C6FD8">
        <w:rPr>
          <w:rFonts w:ascii="Times New Roman" w:hAnsi="Times New Roman"/>
          <w:noProof w:val="0"/>
          <w:sz w:val="20"/>
          <w:lang w:val="en-GB"/>
        </w:rPr>
        <w:t>(SASB). (2021).</w:t>
      </w:r>
      <w:r w:rsidRPr="00D03493">
        <w:rPr>
          <w:rFonts w:ascii="Times New Roman" w:hAnsi="Times New Roman"/>
          <w:i/>
          <w:noProof w:val="0"/>
          <w:sz w:val="20"/>
          <w:lang w:val="en-GB"/>
        </w:rPr>
        <w:t xml:space="preserve"> A practical guide to sustainability reporting using GRI</w:t>
      </w:r>
    </w:p>
    <w:p w14:paraId="2F574B70" w14:textId="77777777" w:rsidR="00F23726" w:rsidRPr="007C6FD8" w:rsidRDefault="00F23726" w:rsidP="00D03493">
      <w:pPr>
        <w:pStyle w:val="Testo1"/>
        <w:spacing w:line="360" w:lineRule="auto"/>
        <w:rPr>
          <w:rFonts w:ascii="Times New Roman" w:hAnsi="Times New Roman"/>
          <w:noProof w:val="0"/>
          <w:sz w:val="20"/>
          <w:lang w:val="en-GB"/>
        </w:rPr>
      </w:pPr>
      <w:r w:rsidRPr="00D03493">
        <w:rPr>
          <w:rFonts w:ascii="Times New Roman" w:hAnsi="Times New Roman"/>
          <w:i/>
          <w:noProof w:val="0"/>
          <w:sz w:val="20"/>
          <w:lang w:val="en-GB"/>
        </w:rPr>
        <w:t>and SASB standard</w:t>
      </w:r>
      <w:r w:rsidRPr="007C6FD8">
        <w:rPr>
          <w:rFonts w:ascii="Times New Roman" w:hAnsi="Times New Roman"/>
          <w:noProof w:val="0"/>
          <w:sz w:val="20"/>
          <w:lang w:val="en-GB"/>
        </w:rPr>
        <w:t>s. https://www.globalreporting.org/media/mlkjpn1i/grisasb-</w:t>
      </w:r>
    </w:p>
    <w:p w14:paraId="42F5DBC2" w14:textId="77777777" w:rsidR="00F23726" w:rsidRPr="007C6FD8" w:rsidRDefault="00F23726" w:rsidP="00D03493">
      <w:pPr>
        <w:pStyle w:val="Testo1"/>
        <w:spacing w:line="360" w:lineRule="auto"/>
        <w:rPr>
          <w:rFonts w:ascii="Times New Roman" w:hAnsi="Times New Roman"/>
          <w:noProof w:val="0"/>
          <w:sz w:val="20"/>
          <w:lang w:val="en-GB"/>
        </w:rPr>
      </w:pPr>
      <w:r w:rsidRPr="007C6FD8">
        <w:rPr>
          <w:rFonts w:ascii="Times New Roman" w:hAnsi="Times New Roman"/>
          <w:noProof w:val="0"/>
          <w:sz w:val="20"/>
          <w:lang w:val="en-GB"/>
        </w:rPr>
        <w:t>joint-publication-april-2021.pdf</w:t>
      </w:r>
    </w:p>
    <w:p w14:paraId="31379D7F" w14:textId="6ECD166B" w:rsidR="00F23726" w:rsidRPr="00C63E79" w:rsidRDefault="00F23726" w:rsidP="00C63E79">
      <w:pPr>
        <w:pStyle w:val="Testo1"/>
        <w:spacing w:before="240" w:line="360" w:lineRule="auto"/>
        <w:rPr>
          <w:rFonts w:ascii="Times New Roman" w:hAnsi="Times New Roman"/>
          <w:i/>
          <w:noProof w:val="0"/>
          <w:sz w:val="20"/>
          <w:lang w:val="en-GB"/>
        </w:rPr>
      </w:pPr>
      <w:r w:rsidRPr="007C6FD8">
        <w:rPr>
          <w:rFonts w:ascii="Times New Roman" w:hAnsi="Times New Roman"/>
          <w:noProof w:val="0"/>
          <w:sz w:val="20"/>
          <w:lang w:val="en-GB"/>
        </w:rPr>
        <w:lastRenderedPageBreak/>
        <w:t xml:space="preserve">Global Reporting Initiative (GRI). (2022). </w:t>
      </w:r>
      <w:r w:rsidRPr="00D03493">
        <w:rPr>
          <w:rFonts w:ascii="Times New Roman" w:hAnsi="Times New Roman"/>
          <w:i/>
          <w:noProof w:val="0"/>
          <w:sz w:val="20"/>
          <w:lang w:val="en-GB"/>
        </w:rPr>
        <w:t>GRI Universal Standards 2021.</w:t>
      </w:r>
      <w:r w:rsidR="00C63E79">
        <w:rPr>
          <w:rFonts w:ascii="Times New Roman" w:hAnsi="Times New Roman"/>
          <w:i/>
          <w:noProof w:val="0"/>
          <w:sz w:val="20"/>
          <w:lang w:val="en-GB"/>
        </w:rPr>
        <w:t xml:space="preserve"> </w:t>
      </w:r>
      <w:r w:rsidRPr="00D03493">
        <w:rPr>
          <w:rFonts w:ascii="Times New Roman" w:hAnsi="Times New Roman"/>
          <w:i/>
          <w:noProof w:val="0"/>
          <w:sz w:val="20"/>
          <w:lang w:val="en-GB"/>
        </w:rPr>
        <w:t>Frequently Asked Questions</w:t>
      </w:r>
      <w:r w:rsidRPr="007C6FD8">
        <w:rPr>
          <w:rFonts w:ascii="Times New Roman" w:hAnsi="Times New Roman"/>
          <w:noProof w:val="0"/>
          <w:sz w:val="20"/>
          <w:lang w:val="en-GB"/>
        </w:rPr>
        <w:t xml:space="preserve"> (FAQs).</w:t>
      </w:r>
    </w:p>
    <w:p w14:paraId="52499697" w14:textId="77777777" w:rsidR="007C6FD8" w:rsidRPr="00D03493" w:rsidRDefault="007C6FD8" w:rsidP="00C63E79">
      <w:pPr>
        <w:pStyle w:val="Testo1"/>
        <w:spacing w:before="240" w:line="360" w:lineRule="auto"/>
        <w:rPr>
          <w:rFonts w:ascii="Times New Roman" w:hAnsi="Times New Roman"/>
          <w:i/>
          <w:noProof w:val="0"/>
          <w:sz w:val="20"/>
          <w:lang w:val="en-GB"/>
        </w:rPr>
      </w:pPr>
      <w:r w:rsidRPr="007C6FD8">
        <w:rPr>
          <w:rFonts w:ascii="Times New Roman" w:hAnsi="Times New Roman"/>
          <w:noProof w:val="0"/>
          <w:sz w:val="20"/>
          <w:lang w:val="en-GB"/>
        </w:rPr>
        <w:t xml:space="preserve">International Integrated Reporting Council (IIRC). (2021). </w:t>
      </w:r>
      <w:r w:rsidRPr="00D03493">
        <w:rPr>
          <w:rFonts w:ascii="Times New Roman" w:hAnsi="Times New Roman"/>
          <w:i/>
          <w:noProof w:val="0"/>
          <w:sz w:val="20"/>
          <w:lang w:val="en-GB"/>
        </w:rPr>
        <w:t>International &lt;IR&gt;</w:t>
      </w:r>
    </w:p>
    <w:p w14:paraId="6C23123E" w14:textId="77777777" w:rsidR="007C6FD8" w:rsidRPr="007C6FD8" w:rsidRDefault="007C6FD8" w:rsidP="00D03493">
      <w:pPr>
        <w:pStyle w:val="Testo1"/>
        <w:spacing w:line="360" w:lineRule="auto"/>
        <w:rPr>
          <w:rFonts w:ascii="Times New Roman" w:hAnsi="Times New Roman"/>
          <w:noProof w:val="0"/>
          <w:sz w:val="20"/>
          <w:lang w:val="en-GB"/>
        </w:rPr>
      </w:pPr>
      <w:r w:rsidRPr="00D03493">
        <w:rPr>
          <w:rFonts w:ascii="Times New Roman" w:hAnsi="Times New Roman"/>
          <w:i/>
          <w:noProof w:val="0"/>
          <w:sz w:val="20"/>
          <w:lang w:val="en-GB"/>
        </w:rPr>
        <w:t>framework</w:t>
      </w:r>
      <w:r w:rsidRPr="007C6FD8">
        <w:rPr>
          <w:rFonts w:ascii="Times New Roman" w:hAnsi="Times New Roman"/>
          <w:noProof w:val="0"/>
          <w:sz w:val="20"/>
          <w:lang w:val="en-GB"/>
        </w:rPr>
        <w:t>. https://integratedreporting.ifrs.org/wp-content/uploads/2021/</w:t>
      </w:r>
    </w:p>
    <w:p w14:paraId="739B442B" w14:textId="079C7153" w:rsidR="007C6FD8" w:rsidRPr="007C6FD8" w:rsidRDefault="007C6FD8" w:rsidP="00D03493">
      <w:pPr>
        <w:pStyle w:val="Testo1"/>
        <w:spacing w:line="360" w:lineRule="auto"/>
        <w:rPr>
          <w:rFonts w:ascii="Times New Roman" w:hAnsi="Times New Roman"/>
          <w:noProof w:val="0"/>
          <w:sz w:val="20"/>
          <w:lang w:val="en-GB"/>
        </w:rPr>
      </w:pPr>
      <w:r w:rsidRPr="007C6FD8">
        <w:rPr>
          <w:rFonts w:ascii="Times New Roman" w:hAnsi="Times New Roman"/>
          <w:noProof w:val="0"/>
          <w:sz w:val="20"/>
          <w:lang w:val="en-GB"/>
        </w:rPr>
        <w:t>01/InternationalIntegratedReportingFramework.pdf</w:t>
      </w:r>
    </w:p>
    <w:p w14:paraId="384A2900" w14:textId="77777777" w:rsidR="00C63E79" w:rsidRDefault="007C6FD8" w:rsidP="00C63E79">
      <w:pPr>
        <w:tabs>
          <w:tab w:val="clear" w:pos="284"/>
        </w:tabs>
        <w:autoSpaceDE w:val="0"/>
        <w:autoSpaceDN w:val="0"/>
        <w:adjustRightInd w:val="0"/>
        <w:spacing w:before="240" w:after="240" w:line="360" w:lineRule="auto"/>
        <w:rPr>
          <w:rFonts w:ascii="Times New Roman" w:hAnsi="Times New Roman"/>
          <w:lang w:val="en-GB"/>
        </w:rPr>
      </w:pPr>
      <w:r w:rsidRPr="007C6FD8">
        <w:rPr>
          <w:rFonts w:ascii="Times New Roman" w:hAnsi="Times New Roman"/>
          <w:lang w:val="en-GB"/>
        </w:rPr>
        <w:t xml:space="preserve">EFRAG &amp; GRI. (2023). </w:t>
      </w:r>
      <w:r w:rsidRPr="00D03493">
        <w:rPr>
          <w:rFonts w:ascii="Times New Roman" w:hAnsi="Times New Roman"/>
          <w:i/>
          <w:lang w:val="en-GB"/>
        </w:rPr>
        <w:t>EFRAG-GRI joint statement of interoperability</w:t>
      </w:r>
      <w:r w:rsidRPr="007C6FD8">
        <w:rPr>
          <w:rFonts w:ascii="Times New Roman" w:hAnsi="Times New Roman"/>
          <w:lang w:val="en-GB"/>
        </w:rPr>
        <w:t>.</w:t>
      </w:r>
    </w:p>
    <w:p w14:paraId="0ECDCBA1" w14:textId="6F4A25A6" w:rsidR="007C6FD8" w:rsidRPr="007C6FD8" w:rsidRDefault="007C6FD8" w:rsidP="00C63E79">
      <w:pPr>
        <w:tabs>
          <w:tab w:val="clear" w:pos="284"/>
        </w:tabs>
        <w:autoSpaceDE w:val="0"/>
        <w:autoSpaceDN w:val="0"/>
        <w:adjustRightInd w:val="0"/>
        <w:spacing w:before="240" w:after="240" w:line="360" w:lineRule="auto"/>
        <w:rPr>
          <w:rFonts w:ascii="Times New Roman" w:hAnsi="Times New Roman"/>
          <w:lang w:val="en-GB"/>
        </w:rPr>
      </w:pPr>
      <w:r w:rsidRPr="007C6FD8">
        <w:rPr>
          <w:rFonts w:ascii="Times New Roman" w:hAnsi="Times New Roman"/>
          <w:lang w:val="en-GB"/>
        </w:rPr>
        <w:t xml:space="preserve">International Sustainability Standards Board (ISSB). (2023). </w:t>
      </w:r>
      <w:r w:rsidRPr="00D03493">
        <w:rPr>
          <w:rFonts w:ascii="Times New Roman" w:hAnsi="Times New Roman"/>
          <w:i/>
          <w:lang w:val="en-GB"/>
        </w:rPr>
        <w:t>IFRS S1 general</w:t>
      </w:r>
      <w:r w:rsidR="00C63E79">
        <w:rPr>
          <w:rFonts w:ascii="Times New Roman" w:hAnsi="Times New Roman"/>
          <w:i/>
          <w:lang w:val="en-GB"/>
        </w:rPr>
        <w:t xml:space="preserve"> </w:t>
      </w:r>
      <w:r w:rsidRPr="00D03493">
        <w:rPr>
          <w:rFonts w:ascii="Times New Roman" w:hAnsi="Times New Roman"/>
          <w:i/>
          <w:lang w:val="en-GB"/>
        </w:rPr>
        <w:t>requirements for disclosure of sustainability-related financial information</w:t>
      </w:r>
      <w:r w:rsidRPr="007C6FD8">
        <w:rPr>
          <w:rFonts w:ascii="Times New Roman" w:hAnsi="Times New Roman"/>
          <w:lang w:val="en-GB"/>
        </w:rPr>
        <w:t>.</w:t>
      </w:r>
      <w:r w:rsidR="00C63E79">
        <w:rPr>
          <w:rFonts w:ascii="Times New Roman" w:hAnsi="Times New Roman"/>
          <w:lang w:val="en-GB"/>
        </w:rPr>
        <w:t xml:space="preserve"> </w:t>
      </w:r>
      <w:r w:rsidRPr="007C6FD8">
        <w:rPr>
          <w:rFonts w:ascii="Times New Roman" w:hAnsi="Times New Roman"/>
          <w:lang w:val="en-GB"/>
        </w:rPr>
        <w:t>https://www.ifrs.org/issued-standards/ifrs-sustainability-standards-navigator/ifrs-s1-general-requirements/#about</w:t>
      </w:r>
    </w:p>
    <w:p w14:paraId="15830E2C" w14:textId="77777777" w:rsidR="007C6FD8" w:rsidRPr="00D03493" w:rsidRDefault="007C6FD8" w:rsidP="00D03493">
      <w:pPr>
        <w:tabs>
          <w:tab w:val="clear" w:pos="284"/>
        </w:tabs>
        <w:autoSpaceDE w:val="0"/>
        <w:autoSpaceDN w:val="0"/>
        <w:adjustRightInd w:val="0"/>
        <w:spacing w:line="360" w:lineRule="auto"/>
        <w:rPr>
          <w:rFonts w:ascii="Times New Roman" w:hAnsi="Times New Roman"/>
          <w:i/>
          <w:lang w:val="en-GB"/>
        </w:rPr>
      </w:pPr>
      <w:r w:rsidRPr="007C6FD8">
        <w:rPr>
          <w:rFonts w:ascii="Times New Roman" w:hAnsi="Times New Roman"/>
          <w:lang w:val="en-GB"/>
        </w:rPr>
        <w:t xml:space="preserve">Sustainability Accounting Standards Board (SASB). (2017). </w:t>
      </w:r>
      <w:r w:rsidRPr="00D03493">
        <w:rPr>
          <w:rFonts w:ascii="Times New Roman" w:hAnsi="Times New Roman"/>
          <w:i/>
          <w:lang w:val="en-GB"/>
        </w:rPr>
        <w:t>SASB conceptual</w:t>
      </w:r>
    </w:p>
    <w:p w14:paraId="5FC37B4F" w14:textId="77777777" w:rsidR="007C6FD8" w:rsidRPr="007C6FD8" w:rsidRDefault="007C6FD8" w:rsidP="00D03493">
      <w:pPr>
        <w:tabs>
          <w:tab w:val="clear" w:pos="284"/>
        </w:tabs>
        <w:autoSpaceDE w:val="0"/>
        <w:autoSpaceDN w:val="0"/>
        <w:adjustRightInd w:val="0"/>
        <w:spacing w:line="360" w:lineRule="auto"/>
        <w:rPr>
          <w:rFonts w:ascii="Times New Roman" w:hAnsi="Times New Roman"/>
          <w:lang w:val="en-GB"/>
        </w:rPr>
      </w:pPr>
      <w:r w:rsidRPr="00D03493">
        <w:rPr>
          <w:rFonts w:ascii="Times New Roman" w:hAnsi="Times New Roman"/>
          <w:i/>
          <w:lang w:val="en-GB"/>
        </w:rPr>
        <w:t>framework</w:t>
      </w:r>
      <w:r w:rsidRPr="007C6FD8">
        <w:rPr>
          <w:rFonts w:ascii="Times New Roman" w:hAnsi="Times New Roman"/>
          <w:lang w:val="en-GB"/>
        </w:rPr>
        <w:t>. https://www.sasb.org/wp-content/uploads/2019/05/SASBConceptual-</w:t>
      </w:r>
    </w:p>
    <w:p w14:paraId="695E70EB" w14:textId="77777777" w:rsidR="007C6FD8" w:rsidRPr="007C6FD8" w:rsidRDefault="007C6FD8" w:rsidP="00C63E79">
      <w:pPr>
        <w:tabs>
          <w:tab w:val="clear" w:pos="284"/>
        </w:tabs>
        <w:autoSpaceDE w:val="0"/>
        <w:autoSpaceDN w:val="0"/>
        <w:adjustRightInd w:val="0"/>
        <w:spacing w:after="240" w:line="360" w:lineRule="auto"/>
        <w:rPr>
          <w:rFonts w:ascii="Times New Roman" w:hAnsi="Times New Roman"/>
          <w:lang w:val="en-GB"/>
        </w:rPr>
      </w:pPr>
      <w:proofErr w:type="spellStart"/>
      <w:r w:rsidRPr="007C6FD8">
        <w:rPr>
          <w:rFonts w:ascii="Times New Roman" w:hAnsi="Times New Roman"/>
          <w:lang w:val="en-GB"/>
        </w:rPr>
        <w:t>Framework.pdf?source</w:t>
      </w:r>
      <w:proofErr w:type="spellEnd"/>
      <w:r w:rsidRPr="007C6FD8">
        <w:rPr>
          <w:rFonts w:ascii="Times New Roman" w:hAnsi="Times New Roman"/>
          <w:lang w:val="en-GB"/>
        </w:rPr>
        <w:t>=</w:t>
      </w:r>
      <w:proofErr w:type="spellStart"/>
      <w:r w:rsidRPr="007C6FD8">
        <w:rPr>
          <w:rFonts w:ascii="Times New Roman" w:hAnsi="Times New Roman"/>
          <w:lang w:val="en-GB"/>
        </w:rPr>
        <w:t>post_page</w:t>
      </w:r>
      <w:proofErr w:type="spellEnd"/>
    </w:p>
    <w:p w14:paraId="273C68DC" w14:textId="17FD6530" w:rsidR="007C6FD8" w:rsidRPr="007C6FD8" w:rsidRDefault="007C6FD8" w:rsidP="00D03493">
      <w:pPr>
        <w:tabs>
          <w:tab w:val="clear" w:pos="284"/>
        </w:tabs>
        <w:autoSpaceDE w:val="0"/>
        <w:autoSpaceDN w:val="0"/>
        <w:adjustRightInd w:val="0"/>
        <w:spacing w:line="360" w:lineRule="auto"/>
        <w:rPr>
          <w:rFonts w:ascii="Times New Roman" w:hAnsi="Times New Roman"/>
          <w:lang w:val="en-GB"/>
        </w:rPr>
      </w:pPr>
      <w:r w:rsidRPr="007C6FD8">
        <w:rPr>
          <w:rFonts w:ascii="Times New Roman" w:hAnsi="Times New Roman"/>
          <w:lang w:val="en-GB"/>
        </w:rPr>
        <w:t xml:space="preserve">Task Force on Climate-related Financial Disclosures (TCFD). (2017). </w:t>
      </w:r>
      <w:r w:rsidRPr="00D03493">
        <w:rPr>
          <w:rFonts w:ascii="Times New Roman" w:hAnsi="Times New Roman"/>
          <w:i/>
          <w:lang w:val="en-GB"/>
        </w:rPr>
        <w:t>Recommendations</w:t>
      </w:r>
      <w:r w:rsidR="00D03493">
        <w:rPr>
          <w:rFonts w:ascii="Times New Roman" w:hAnsi="Times New Roman"/>
          <w:i/>
          <w:lang w:val="en-GB"/>
        </w:rPr>
        <w:t xml:space="preserve"> </w:t>
      </w:r>
      <w:r w:rsidRPr="00D03493">
        <w:rPr>
          <w:rFonts w:ascii="Times New Roman" w:hAnsi="Times New Roman"/>
          <w:i/>
          <w:lang w:val="en-GB"/>
        </w:rPr>
        <w:t>of the task force on climate-related financial disclosures</w:t>
      </w:r>
      <w:r w:rsidRPr="007C6FD8">
        <w:rPr>
          <w:rFonts w:ascii="Times New Roman" w:hAnsi="Times New Roman"/>
          <w:lang w:val="en-GB"/>
        </w:rPr>
        <w:t>. https://</w:t>
      </w:r>
    </w:p>
    <w:p w14:paraId="538F9856" w14:textId="77777777" w:rsidR="007C6FD8" w:rsidRPr="007C6FD8" w:rsidRDefault="007C6FD8" w:rsidP="00D03493">
      <w:pPr>
        <w:tabs>
          <w:tab w:val="clear" w:pos="284"/>
        </w:tabs>
        <w:autoSpaceDE w:val="0"/>
        <w:autoSpaceDN w:val="0"/>
        <w:adjustRightInd w:val="0"/>
        <w:spacing w:line="360" w:lineRule="auto"/>
        <w:rPr>
          <w:rFonts w:ascii="Times New Roman" w:hAnsi="Times New Roman"/>
          <w:lang w:val="en-GB"/>
        </w:rPr>
      </w:pPr>
      <w:r w:rsidRPr="007C6FD8">
        <w:rPr>
          <w:rFonts w:ascii="Times New Roman" w:hAnsi="Times New Roman"/>
          <w:lang w:val="en-GB"/>
        </w:rPr>
        <w:t>www.fsb-tcfd.org/recommendations/</w:t>
      </w:r>
    </w:p>
    <w:p w14:paraId="32476A16" w14:textId="4BE11A3B" w:rsidR="007C6FD8" w:rsidRPr="007C6FD8" w:rsidRDefault="007C6FD8" w:rsidP="00D03493">
      <w:pPr>
        <w:pStyle w:val="Testo1"/>
        <w:spacing w:line="360" w:lineRule="auto"/>
        <w:rPr>
          <w:rFonts w:ascii="Times New Roman" w:hAnsi="Times New Roman"/>
          <w:noProof w:val="0"/>
          <w:sz w:val="20"/>
          <w:lang w:val="en-GB"/>
        </w:rPr>
      </w:pPr>
    </w:p>
    <w:p w14:paraId="437EAAAC" w14:textId="063BCBB3" w:rsidR="003D1A5A" w:rsidRPr="00DA2C77" w:rsidRDefault="007C6FD8" w:rsidP="00D03493">
      <w:pPr>
        <w:spacing w:line="360" w:lineRule="auto"/>
        <w:rPr>
          <w:b/>
          <w:bCs/>
          <w:i/>
          <w:iCs/>
          <w:noProof/>
          <w:lang w:val="en-GB"/>
        </w:rPr>
      </w:pPr>
      <w:r>
        <w:rPr>
          <w:spacing w:val="-5"/>
          <w:lang w:val="en-GB"/>
        </w:rPr>
        <w:t>S</w:t>
      </w:r>
      <w:r w:rsidR="003D1A5A">
        <w:rPr>
          <w:spacing w:val="-5"/>
          <w:lang w:val="en-GB"/>
        </w:rPr>
        <w:t xml:space="preserve">lides and </w:t>
      </w:r>
      <w:r w:rsidR="003D1A5A">
        <w:rPr>
          <w:lang w:val="en-GB"/>
        </w:rPr>
        <w:t>teaching materials will be uploaded in the Blackboard platform.</w:t>
      </w:r>
    </w:p>
    <w:p w14:paraId="7C9D8EDD" w14:textId="77777777" w:rsidR="003D1A5A" w:rsidRDefault="003D1A5A" w:rsidP="00D03493">
      <w:pPr>
        <w:pStyle w:val="Testo1"/>
        <w:spacing w:line="360" w:lineRule="auto"/>
        <w:rPr>
          <w:rFonts w:ascii="Times New Roman" w:hAnsi="Times New Roman"/>
          <w:spacing w:val="-5"/>
          <w:sz w:val="20"/>
          <w:lang w:val="en-GB"/>
        </w:rPr>
      </w:pPr>
    </w:p>
    <w:p w14:paraId="08532A21" w14:textId="77777777" w:rsidR="005D06EF" w:rsidRDefault="005D06EF" w:rsidP="00D03493">
      <w:pPr>
        <w:pStyle w:val="Testo1"/>
        <w:spacing w:line="360" w:lineRule="auto"/>
        <w:rPr>
          <w:rFonts w:ascii="Times New Roman" w:hAnsi="Times New Roman"/>
          <w:spacing w:val="-5"/>
          <w:sz w:val="20"/>
          <w:lang w:val="en-GB"/>
        </w:rPr>
      </w:pPr>
    </w:p>
    <w:p w14:paraId="5644DB87" w14:textId="77777777" w:rsidR="005D06EF" w:rsidRDefault="005D06EF" w:rsidP="00D03493">
      <w:pPr>
        <w:pStyle w:val="Testo1"/>
        <w:spacing w:line="360" w:lineRule="auto"/>
        <w:rPr>
          <w:rFonts w:ascii="Times New Roman" w:hAnsi="Times New Roman"/>
          <w:spacing w:val="-5"/>
          <w:sz w:val="20"/>
          <w:lang w:val="en-GB"/>
        </w:rPr>
      </w:pPr>
    </w:p>
    <w:p w14:paraId="583FCBDF" w14:textId="77777777" w:rsidR="005D06EF" w:rsidRDefault="005D06EF" w:rsidP="00D03493">
      <w:pPr>
        <w:pStyle w:val="Testo1"/>
        <w:spacing w:line="360" w:lineRule="auto"/>
        <w:rPr>
          <w:rFonts w:ascii="Times New Roman" w:hAnsi="Times New Roman"/>
          <w:spacing w:val="-5"/>
          <w:sz w:val="20"/>
          <w:lang w:val="en-GB"/>
        </w:rPr>
      </w:pPr>
    </w:p>
    <w:p w14:paraId="4E9A387F" w14:textId="11CE0CB0" w:rsidR="00303409" w:rsidRPr="00C65851" w:rsidRDefault="001831DB" w:rsidP="00D03493">
      <w:pPr>
        <w:spacing w:before="240" w:after="120" w:line="360" w:lineRule="auto"/>
        <w:rPr>
          <w:rFonts w:ascii="Times New Roman" w:hAnsi="Times New Roman"/>
          <w:b/>
          <w:i/>
          <w:lang w:val="en-US"/>
        </w:rPr>
      </w:pPr>
      <w:r>
        <w:rPr>
          <w:rFonts w:ascii="Times New Roman" w:hAnsi="Times New Roman"/>
          <w:b/>
          <w:i/>
          <w:lang w:val="en-US"/>
        </w:rPr>
        <w:lastRenderedPageBreak/>
        <w:t>TEACHING METHOD</w:t>
      </w:r>
    </w:p>
    <w:p w14:paraId="25057095" w14:textId="5B37B986" w:rsidR="00EE4258" w:rsidRPr="007C21BA" w:rsidRDefault="009477A4" w:rsidP="00D03493">
      <w:pPr>
        <w:pStyle w:val="Testo2"/>
        <w:spacing w:line="360" w:lineRule="auto"/>
        <w:ind w:firstLine="0"/>
        <w:rPr>
          <w:rFonts w:ascii="Times New Roman" w:hAnsi="Times New Roman"/>
          <w:sz w:val="20"/>
          <w:lang w:val="en-GB"/>
        </w:rPr>
      </w:pPr>
      <w:r>
        <w:rPr>
          <w:rFonts w:ascii="Times New Roman" w:hAnsi="Times New Roman"/>
          <w:sz w:val="20"/>
          <w:lang w:val="en-GB"/>
        </w:rPr>
        <w:t>The course combines theoretical lectures, case study discussions, guided exercises, and group work in order to promote both theoretical understanding and applied skills in the measurement, evaluation, and reporting of corporate sustainability performance. These teaching methods are combined to develop students’ ability to analyse and interpret the implications related to the various aspects of non-financial performance. Active student participation is expected and encouraged throughout the course, with classroom discussions and debates designed to stimulate critical thinking, autonomy of judgement, peer-to-peer learning, and communication skills.</w:t>
      </w:r>
    </w:p>
    <w:p w14:paraId="5CED3BD9" w14:textId="5F2A7927" w:rsidR="002E7A92" w:rsidRDefault="002E7A92" w:rsidP="00D03493">
      <w:pPr>
        <w:pStyle w:val="Testo2"/>
        <w:spacing w:line="360" w:lineRule="auto"/>
        <w:ind w:firstLine="0"/>
        <w:rPr>
          <w:rFonts w:ascii="Times New Roman" w:hAnsi="Times New Roman"/>
          <w:sz w:val="20"/>
          <w:lang w:val="en-US"/>
        </w:rPr>
      </w:pPr>
    </w:p>
    <w:p w14:paraId="50580CE9" w14:textId="4F76F20A" w:rsidR="00EE4258" w:rsidRDefault="00EE4258" w:rsidP="00D03493">
      <w:pPr>
        <w:spacing w:before="240" w:after="120" w:line="360" w:lineRule="auto"/>
        <w:rPr>
          <w:rFonts w:ascii="Times New Roman" w:hAnsi="Times New Roman"/>
          <w:b/>
          <w:i/>
          <w:lang w:val="en-GB"/>
        </w:rPr>
      </w:pPr>
      <w:r>
        <w:rPr>
          <w:rFonts w:ascii="Times New Roman" w:hAnsi="Times New Roman"/>
          <w:b/>
          <w:i/>
          <w:lang w:val="en-GB"/>
        </w:rPr>
        <w:t>ASSESSMENT METHOD AND CRITERIA</w:t>
      </w:r>
    </w:p>
    <w:p w14:paraId="28EABFAA" w14:textId="77777777" w:rsidR="007C6FD8" w:rsidRPr="00C63E79" w:rsidRDefault="007C6FD8" w:rsidP="00D03493">
      <w:pPr>
        <w:pStyle w:val="Testo2"/>
        <w:spacing w:line="360" w:lineRule="auto"/>
        <w:rPr>
          <w:rFonts w:ascii="Times New Roman" w:hAnsi="Times New Roman"/>
          <w:sz w:val="20"/>
          <w:lang w:val="en-US"/>
        </w:rPr>
      </w:pPr>
      <w:r w:rsidRPr="00C63E79">
        <w:rPr>
          <w:rFonts w:ascii="Times New Roman" w:hAnsi="Times New Roman"/>
          <w:sz w:val="20"/>
          <w:lang w:val="en-US"/>
        </w:rPr>
        <w:t>Course attendance is strongly recommended, as the objective of the course is to develop analytical skills and autonomy of judgement. The overall evaluation is based on a final written exam designed to assess students' progress towards the learning outcomes of the entire course, drawing on the lectures, the required readings, and the teaching materials provided. The exam lasts 60 minutes, is graded out of thirty (30/30), and includes the following question formats:</w:t>
      </w:r>
    </w:p>
    <w:p w14:paraId="50C799D3" w14:textId="77777777" w:rsidR="007C6FD8" w:rsidRPr="00C63E79" w:rsidRDefault="007C6FD8" w:rsidP="00D03493">
      <w:pPr>
        <w:pStyle w:val="Testo2"/>
        <w:numPr>
          <w:ilvl w:val="0"/>
          <w:numId w:val="18"/>
        </w:numPr>
        <w:spacing w:line="360" w:lineRule="auto"/>
        <w:rPr>
          <w:rFonts w:ascii="Times New Roman" w:hAnsi="Times New Roman"/>
          <w:sz w:val="20"/>
          <w:lang w:val="en-US"/>
        </w:rPr>
      </w:pPr>
      <w:r w:rsidRPr="00C63E79">
        <w:rPr>
          <w:rFonts w:ascii="Times New Roman" w:hAnsi="Times New Roman"/>
          <w:bCs/>
          <w:sz w:val="20"/>
          <w:lang w:val="en-US"/>
        </w:rPr>
        <w:t>Open-ended and short-answer questions</w:t>
      </w:r>
      <w:r w:rsidRPr="00C63E79">
        <w:rPr>
          <w:rFonts w:ascii="Times New Roman" w:hAnsi="Times New Roman"/>
          <w:sz w:val="20"/>
          <w:lang w:val="en-US"/>
        </w:rPr>
        <w:t>, covering the theoretical framework, the regulatory evolution (CSRD, European Taxonomy, SFDR), and the main reporting standards and frameworks (GRI, ESRS, IFRS Sustainability Disclosure Standards, GHG Protocol, Integrated Reporting, VSME);</w:t>
      </w:r>
    </w:p>
    <w:p w14:paraId="14650EEB" w14:textId="77777777" w:rsidR="007C6FD8" w:rsidRPr="00C63E79" w:rsidRDefault="007C6FD8" w:rsidP="00D03493">
      <w:pPr>
        <w:pStyle w:val="Testo2"/>
        <w:numPr>
          <w:ilvl w:val="0"/>
          <w:numId w:val="18"/>
        </w:numPr>
        <w:spacing w:line="360" w:lineRule="auto"/>
        <w:rPr>
          <w:rFonts w:ascii="Times New Roman" w:hAnsi="Times New Roman"/>
          <w:sz w:val="20"/>
          <w:lang w:val="en-US"/>
        </w:rPr>
      </w:pPr>
      <w:r w:rsidRPr="00C63E79">
        <w:rPr>
          <w:rFonts w:ascii="Times New Roman" w:hAnsi="Times New Roman"/>
          <w:bCs/>
          <w:sz w:val="20"/>
          <w:lang w:val="en-US"/>
        </w:rPr>
        <w:t>The analysis of a case study</w:t>
      </w:r>
      <w:r w:rsidRPr="00C63E79">
        <w:rPr>
          <w:rFonts w:ascii="Times New Roman" w:hAnsi="Times New Roman"/>
          <w:sz w:val="20"/>
          <w:lang w:val="en-US"/>
        </w:rPr>
        <w:t>, aimed at evaluating analytical reasoning and the ability to apply the logic of sustainability measurement, evaluation, and reporting to concrete corporate contexts.</w:t>
      </w:r>
    </w:p>
    <w:p w14:paraId="03FA09FE" w14:textId="77777777" w:rsidR="007C6FD8" w:rsidRPr="00C63E79" w:rsidRDefault="007C6FD8" w:rsidP="00D03493">
      <w:pPr>
        <w:pStyle w:val="Testo2"/>
        <w:spacing w:line="360" w:lineRule="auto"/>
        <w:rPr>
          <w:rFonts w:ascii="Times New Roman" w:hAnsi="Times New Roman"/>
          <w:sz w:val="20"/>
          <w:lang w:val="en-US"/>
        </w:rPr>
      </w:pPr>
      <w:r w:rsidRPr="00C63E79">
        <w:rPr>
          <w:rFonts w:ascii="Times New Roman" w:hAnsi="Times New Roman"/>
          <w:sz w:val="20"/>
          <w:lang w:val="en-US"/>
        </w:rPr>
        <w:lastRenderedPageBreak/>
        <w:t>The evaluation considers the student's analytical ability, the clarity and coherence of the analysis, the relevance of the indicators and reporting logic chosen, and the quality of the answers provided. Detailed guidelines on the exam structure and assessment criteria will be published on the Blackboard platform at the beginning of the course.</w:t>
      </w:r>
    </w:p>
    <w:p w14:paraId="2248F72D" w14:textId="76294937" w:rsidR="00921CD8" w:rsidRPr="00C63E79" w:rsidRDefault="00921CD8" w:rsidP="00D03493">
      <w:pPr>
        <w:pStyle w:val="Testo2"/>
        <w:spacing w:line="360" w:lineRule="auto"/>
        <w:ind w:firstLine="0"/>
        <w:rPr>
          <w:rFonts w:ascii="Times New Roman" w:hAnsi="Times New Roman"/>
          <w:sz w:val="20"/>
          <w:lang w:val="en-US"/>
        </w:rPr>
      </w:pPr>
    </w:p>
    <w:p w14:paraId="35E71B6D" w14:textId="417DF451" w:rsidR="00EE4258" w:rsidRPr="007C21BA" w:rsidRDefault="00EE4258" w:rsidP="00D03493">
      <w:pPr>
        <w:keepNext/>
        <w:spacing w:before="240" w:after="120" w:line="360" w:lineRule="auto"/>
        <w:outlineLvl w:val="3"/>
        <w:rPr>
          <w:rFonts w:ascii="Times New Roman" w:hAnsi="Times New Roman"/>
          <w:b/>
          <w:bCs/>
          <w:i/>
          <w:lang w:val="en-GB"/>
        </w:rPr>
      </w:pPr>
      <w:r>
        <w:rPr>
          <w:rFonts w:ascii="Times New Roman" w:hAnsi="Times New Roman"/>
          <w:b/>
          <w:bCs/>
          <w:i/>
          <w:lang w:val="en-GB"/>
        </w:rPr>
        <w:t>NOTES AND PREREQUISITES</w:t>
      </w:r>
    </w:p>
    <w:p w14:paraId="6C59AC42" w14:textId="45B92113" w:rsidR="00F15EEC" w:rsidRDefault="00CF3F10" w:rsidP="00D03493">
      <w:pPr>
        <w:pStyle w:val="Testo2"/>
        <w:spacing w:before="120" w:line="360" w:lineRule="auto"/>
        <w:ind w:firstLine="0"/>
        <w:rPr>
          <w:rStyle w:val="Collegamentoipertestuale"/>
          <w:rFonts w:ascii="Times New Roman" w:hAnsi="Times New Roman"/>
          <w:sz w:val="20"/>
          <w:lang w:val="en-US"/>
        </w:rPr>
      </w:pPr>
      <w:r>
        <w:rPr>
          <w:rFonts w:ascii="Times New Roman" w:hAnsi="Times New Roman"/>
          <w:noProof w:val="0"/>
          <w:sz w:val="20"/>
          <w:lang w:val="en-GB"/>
        </w:rPr>
        <w:t xml:space="preserve">The course presupposes that students already have a good knowledge of the basic concepts of business economics. Office hours and the related arrangements are available online on the teacher’s personal page at: </w:t>
      </w:r>
      <w:hyperlink r:id="rId10" w:history="1">
        <w:r>
          <w:rPr>
            <w:rStyle w:val="Collegamentoipertestuale"/>
            <w:rFonts w:ascii="Times New Roman" w:hAnsi="Times New Roman"/>
            <w:noProof w:val="0"/>
            <w:sz w:val="20"/>
            <w:lang w:val="en-GB"/>
          </w:rPr>
          <w:t>http://docenti.unicatt.it/</w:t>
        </w:r>
      </w:hyperlink>
    </w:p>
    <w:sectPr w:rsidR="00F15EEC" w:rsidSect="005D06EF">
      <w:pgSz w:w="11906" w:h="16838" w:code="9"/>
      <w:pgMar w:top="3261" w:right="2975" w:bottom="3261"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DCEE9" w14:textId="77777777" w:rsidR="006A7A3E" w:rsidRDefault="006A7A3E" w:rsidP="00D03493">
      <w:pPr>
        <w:spacing w:line="240" w:lineRule="auto"/>
      </w:pPr>
      <w:r>
        <w:separator/>
      </w:r>
    </w:p>
  </w:endnote>
  <w:endnote w:type="continuationSeparator" w:id="0">
    <w:p w14:paraId="2149008E" w14:textId="77777777" w:rsidR="006A7A3E" w:rsidRDefault="006A7A3E" w:rsidP="00D034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imes">
    <w:altName w:val="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65454" w14:textId="77777777" w:rsidR="006A7A3E" w:rsidRDefault="006A7A3E" w:rsidP="00D03493">
      <w:pPr>
        <w:spacing w:line="240" w:lineRule="auto"/>
      </w:pPr>
      <w:r>
        <w:separator/>
      </w:r>
    </w:p>
  </w:footnote>
  <w:footnote w:type="continuationSeparator" w:id="0">
    <w:p w14:paraId="0E9AF697" w14:textId="77777777" w:rsidR="006A7A3E" w:rsidRDefault="006A7A3E" w:rsidP="00D0349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3F08"/>
    <w:multiLevelType w:val="hybridMultilevel"/>
    <w:tmpl w:val="C9B0FDDE"/>
    <w:lvl w:ilvl="0" w:tplc="B76C2AE4">
      <w:numFmt w:val="bullet"/>
      <w:lvlText w:val="-"/>
      <w:lvlJc w:val="left"/>
      <w:pPr>
        <w:ind w:left="504"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841B0A"/>
    <w:multiLevelType w:val="hybridMultilevel"/>
    <w:tmpl w:val="1804B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3870CF"/>
    <w:multiLevelType w:val="hybridMultilevel"/>
    <w:tmpl w:val="F0046B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05807F2"/>
    <w:multiLevelType w:val="hybridMultilevel"/>
    <w:tmpl w:val="0E3441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80D4683"/>
    <w:multiLevelType w:val="hybridMultilevel"/>
    <w:tmpl w:val="BBF4020A"/>
    <w:lvl w:ilvl="0" w:tplc="04100001">
      <w:start w:val="1"/>
      <w:numFmt w:val="bullet"/>
      <w:lvlText w:val=""/>
      <w:lvlJc w:val="left"/>
      <w:pPr>
        <w:tabs>
          <w:tab w:val="num" w:pos="360"/>
        </w:tabs>
        <w:ind w:left="360" w:hanging="360"/>
      </w:pPr>
      <w:rPr>
        <w:rFonts w:ascii="Symbol" w:hAnsi="Symbol" w:hint="default"/>
      </w:rPr>
    </w:lvl>
    <w:lvl w:ilvl="1" w:tplc="CB72934E">
      <w:start w:val="1"/>
      <w:numFmt w:val="bullet"/>
      <w:lvlText w:val="•"/>
      <w:lvlJc w:val="left"/>
      <w:pPr>
        <w:tabs>
          <w:tab w:val="num" w:pos="1440"/>
        </w:tabs>
        <w:ind w:left="1440" w:hanging="360"/>
      </w:pPr>
      <w:rPr>
        <w:rFonts w:ascii="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1425EB3"/>
    <w:multiLevelType w:val="hybridMultilevel"/>
    <w:tmpl w:val="BB9254D4"/>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9DE3D64"/>
    <w:multiLevelType w:val="hybridMultilevel"/>
    <w:tmpl w:val="677C659C"/>
    <w:lvl w:ilvl="0" w:tplc="04100001">
      <w:numFmt w:val="bullet"/>
      <w:lvlText w:val=""/>
      <w:lvlJc w:val="left"/>
      <w:pPr>
        <w:tabs>
          <w:tab w:val="num" w:pos="720"/>
        </w:tabs>
        <w:ind w:left="720" w:hanging="360"/>
      </w:pPr>
      <w:rPr>
        <w:rFonts w:ascii="Symbol" w:eastAsia="Times New Roman" w:hAnsi="Symbol"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A62025"/>
    <w:multiLevelType w:val="multilevel"/>
    <w:tmpl w:val="D52C8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9E34CF"/>
    <w:multiLevelType w:val="hybridMultilevel"/>
    <w:tmpl w:val="2D64B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4909CC"/>
    <w:multiLevelType w:val="hybridMultilevel"/>
    <w:tmpl w:val="34D8C4D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BD54342"/>
    <w:multiLevelType w:val="hybridMultilevel"/>
    <w:tmpl w:val="10AAC0E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ECF79DB"/>
    <w:multiLevelType w:val="hybridMultilevel"/>
    <w:tmpl w:val="F20C589C"/>
    <w:lvl w:ilvl="0" w:tplc="B76C2AE4">
      <w:numFmt w:val="bullet"/>
      <w:lvlText w:val="-"/>
      <w:lvlJc w:val="left"/>
      <w:pPr>
        <w:ind w:left="504" w:hanging="360"/>
      </w:pPr>
      <w:rPr>
        <w:rFonts w:ascii="Times New Roman" w:eastAsia="Times New Roman" w:hAnsi="Times New Roman"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2" w15:restartNumberingAfterBreak="0">
    <w:nsid w:val="61222BE0"/>
    <w:multiLevelType w:val="hybridMultilevel"/>
    <w:tmpl w:val="EAA65FBC"/>
    <w:lvl w:ilvl="0" w:tplc="04100001">
      <w:start w:val="1"/>
      <w:numFmt w:val="bullet"/>
      <w:lvlText w:val=""/>
      <w:lvlJc w:val="left"/>
      <w:pPr>
        <w:tabs>
          <w:tab w:val="num" w:pos="360"/>
        </w:tabs>
        <w:ind w:left="360" w:hanging="360"/>
      </w:pPr>
      <w:rPr>
        <w:rFonts w:ascii="Symbol" w:hAnsi="Symbol" w:hint="default"/>
      </w:rPr>
    </w:lvl>
    <w:lvl w:ilvl="1" w:tplc="6CFEAD42">
      <w:start w:val="1"/>
      <w:numFmt w:val="bullet"/>
      <w:lvlText w:val="□"/>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7572FFD"/>
    <w:multiLevelType w:val="hybridMultilevel"/>
    <w:tmpl w:val="79901090"/>
    <w:lvl w:ilvl="0" w:tplc="04100001">
      <w:start w:val="1"/>
      <w:numFmt w:val="bullet"/>
      <w:lvlText w:val=""/>
      <w:lvlJc w:val="left"/>
      <w:pPr>
        <w:tabs>
          <w:tab w:val="num" w:pos="360"/>
        </w:tabs>
        <w:ind w:left="360" w:hanging="360"/>
      </w:pPr>
      <w:rPr>
        <w:rFonts w:ascii="Symbol" w:hAnsi="Symbol" w:hint="default"/>
      </w:rPr>
    </w:lvl>
    <w:lvl w:ilvl="1" w:tplc="8A66D602">
      <w:start w:val="8"/>
      <w:numFmt w:val="bullet"/>
      <w:lvlText w:val="-"/>
      <w:lvlJc w:val="left"/>
      <w:pPr>
        <w:tabs>
          <w:tab w:val="num" w:pos="1440"/>
        </w:tabs>
        <w:ind w:left="1440" w:hanging="360"/>
      </w:pPr>
      <w:rPr>
        <w:rFonts w:ascii="Verdana" w:eastAsia="Times New Roman" w:hAnsi="Verdana"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E2B2B30"/>
    <w:multiLevelType w:val="hybridMultilevel"/>
    <w:tmpl w:val="5E567B56"/>
    <w:lvl w:ilvl="0" w:tplc="A080DC6A">
      <w:numFmt w:val="bullet"/>
      <w:lvlText w:val="-"/>
      <w:lvlJc w:val="left"/>
      <w:pPr>
        <w:tabs>
          <w:tab w:val="num" w:pos="720"/>
        </w:tabs>
        <w:ind w:left="720" w:hanging="360"/>
      </w:pPr>
      <w:rPr>
        <w:rFonts w:ascii="Times" w:eastAsia="Times New Roman" w:hAnsi="Times" w:cs="Time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3C17C0F"/>
    <w:multiLevelType w:val="hybridMultilevel"/>
    <w:tmpl w:val="BB0418C4"/>
    <w:lvl w:ilvl="0" w:tplc="B76C2AE4">
      <w:numFmt w:val="bullet"/>
      <w:lvlText w:val="-"/>
      <w:lvlJc w:val="left"/>
      <w:pPr>
        <w:ind w:left="862" w:hanging="360"/>
      </w:pPr>
      <w:rPr>
        <w:rFonts w:ascii="Times New Roman" w:eastAsia="Times New Roman" w:hAnsi="Times New Roman" w:cs="Times New Roman"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6" w15:restartNumberingAfterBreak="0">
    <w:nsid w:val="7F826865"/>
    <w:multiLevelType w:val="hybridMultilevel"/>
    <w:tmpl w:val="53763546"/>
    <w:lvl w:ilvl="0" w:tplc="B76C2AE4">
      <w:numFmt w:val="bullet"/>
      <w:lvlText w:val="-"/>
      <w:lvlJc w:val="left"/>
      <w:pPr>
        <w:ind w:left="504"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1757855">
    <w:abstractNumId w:val="14"/>
  </w:num>
  <w:num w:numId="2" w16cid:durableId="1646004488">
    <w:abstractNumId w:val="6"/>
  </w:num>
  <w:num w:numId="3" w16cid:durableId="608664993">
    <w:abstractNumId w:val="14"/>
  </w:num>
  <w:num w:numId="4" w16cid:durableId="418059440">
    <w:abstractNumId w:val="2"/>
  </w:num>
  <w:num w:numId="5" w16cid:durableId="669715605">
    <w:abstractNumId w:val="4"/>
  </w:num>
  <w:num w:numId="6" w16cid:durableId="671378554">
    <w:abstractNumId w:val="13"/>
  </w:num>
  <w:num w:numId="7" w16cid:durableId="1800143331">
    <w:abstractNumId w:val="5"/>
  </w:num>
  <w:num w:numId="8" w16cid:durableId="315450599">
    <w:abstractNumId w:val="12"/>
  </w:num>
  <w:num w:numId="9" w16cid:durableId="1276446126">
    <w:abstractNumId w:val="9"/>
  </w:num>
  <w:num w:numId="10" w16cid:durableId="298533690">
    <w:abstractNumId w:val="10"/>
  </w:num>
  <w:num w:numId="11" w16cid:durableId="595985310">
    <w:abstractNumId w:val="3"/>
  </w:num>
  <w:num w:numId="12" w16cid:durableId="60179434">
    <w:abstractNumId w:val="1"/>
  </w:num>
  <w:num w:numId="13" w16cid:durableId="3363125">
    <w:abstractNumId w:val="11"/>
  </w:num>
  <w:num w:numId="14" w16cid:durableId="2120300132">
    <w:abstractNumId w:val="16"/>
  </w:num>
  <w:num w:numId="15" w16cid:durableId="2110810146">
    <w:abstractNumId w:val="0"/>
  </w:num>
  <w:num w:numId="16" w16cid:durableId="1486240139">
    <w:abstractNumId w:val="8"/>
  </w:num>
  <w:num w:numId="17" w16cid:durableId="1765832804">
    <w:abstractNumId w:val="15"/>
  </w:num>
  <w:num w:numId="18" w16cid:durableId="14808029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DE5"/>
    <w:rsid w:val="00003BCF"/>
    <w:rsid w:val="00023B8A"/>
    <w:rsid w:val="00033A7B"/>
    <w:rsid w:val="0005426C"/>
    <w:rsid w:val="00060EAF"/>
    <w:rsid w:val="00063C45"/>
    <w:rsid w:val="0006550A"/>
    <w:rsid w:val="00065531"/>
    <w:rsid w:val="000B2ACD"/>
    <w:rsid w:val="000C4165"/>
    <w:rsid w:val="000E0804"/>
    <w:rsid w:val="000E46FC"/>
    <w:rsid w:val="000F7D9E"/>
    <w:rsid w:val="0011001E"/>
    <w:rsid w:val="001252FB"/>
    <w:rsid w:val="001831DB"/>
    <w:rsid w:val="00194DFD"/>
    <w:rsid w:val="001D0864"/>
    <w:rsid w:val="002439C7"/>
    <w:rsid w:val="00262820"/>
    <w:rsid w:val="00286223"/>
    <w:rsid w:val="00296FC0"/>
    <w:rsid w:val="002A1A4B"/>
    <w:rsid w:val="002A5107"/>
    <w:rsid w:val="002A5B9C"/>
    <w:rsid w:val="002B4ED0"/>
    <w:rsid w:val="002D74F8"/>
    <w:rsid w:val="002E5DD2"/>
    <w:rsid w:val="002E7A92"/>
    <w:rsid w:val="00303409"/>
    <w:rsid w:val="0031575E"/>
    <w:rsid w:val="003272E3"/>
    <w:rsid w:val="00331C8D"/>
    <w:rsid w:val="00334FA2"/>
    <w:rsid w:val="00335839"/>
    <w:rsid w:val="00392E0A"/>
    <w:rsid w:val="003A1B7B"/>
    <w:rsid w:val="003C7B61"/>
    <w:rsid w:val="003D1A5A"/>
    <w:rsid w:val="004060F7"/>
    <w:rsid w:val="004218EB"/>
    <w:rsid w:val="00430744"/>
    <w:rsid w:val="00444B97"/>
    <w:rsid w:val="004718C0"/>
    <w:rsid w:val="00477C4B"/>
    <w:rsid w:val="00483FE1"/>
    <w:rsid w:val="004F3531"/>
    <w:rsid w:val="00536470"/>
    <w:rsid w:val="00560D0E"/>
    <w:rsid w:val="00571E67"/>
    <w:rsid w:val="005C20D3"/>
    <w:rsid w:val="005D06EF"/>
    <w:rsid w:val="005D41DA"/>
    <w:rsid w:val="005F3D0F"/>
    <w:rsid w:val="00635078"/>
    <w:rsid w:val="0068003A"/>
    <w:rsid w:val="00690798"/>
    <w:rsid w:val="006A7A3E"/>
    <w:rsid w:val="00701572"/>
    <w:rsid w:val="0070386E"/>
    <w:rsid w:val="00764DE3"/>
    <w:rsid w:val="00782F5D"/>
    <w:rsid w:val="007B7A6E"/>
    <w:rsid w:val="007C21BA"/>
    <w:rsid w:val="007C6FD8"/>
    <w:rsid w:val="008004C6"/>
    <w:rsid w:val="008347DF"/>
    <w:rsid w:val="008441DF"/>
    <w:rsid w:val="00850A00"/>
    <w:rsid w:val="008513BD"/>
    <w:rsid w:val="008645C8"/>
    <w:rsid w:val="00867F0C"/>
    <w:rsid w:val="008A7C81"/>
    <w:rsid w:val="008B25E6"/>
    <w:rsid w:val="008E604F"/>
    <w:rsid w:val="009057A8"/>
    <w:rsid w:val="00907A54"/>
    <w:rsid w:val="00921CD8"/>
    <w:rsid w:val="00934880"/>
    <w:rsid w:val="00944B3C"/>
    <w:rsid w:val="009477A4"/>
    <w:rsid w:val="00955F1D"/>
    <w:rsid w:val="00963F9E"/>
    <w:rsid w:val="00982BBA"/>
    <w:rsid w:val="00997EB5"/>
    <w:rsid w:val="009D5241"/>
    <w:rsid w:val="009E0F35"/>
    <w:rsid w:val="009E78B7"/>
    <w:rsid w:val="00A02DE5"/>
    <w:rsid w:val="00A14407"/>
    <w:rsid w:val="00A30ACA"/>
    <w:rsid w:val="00A407CA"/>
    <w:rsid w:val="00A44F32"/>
    <w:rsid w:val="00A737CB"/>
    <w:rsid w:val="00AC72D5"/>
    <w:rsid w:val="00AE3E33"/>
    <w:rsid w:val="00B7341C"/>
    <w:rsid w:val="00B736E4"/>
    <w:rsid w:val="00B74450"/>
    <w:rsid w:val="00B74987"/>
    <w:rsid w:val="00B86C0C"/>
    <w:rsid w:val="00BF3D04"/>
    <w:rsid w:val="00C058FF"/>
    <w:rsid w:val="00C121F7"/>
    <w:rsid w:val="00C47244"/>
    <w:rsid w:val="00C57570"/>
    <w:rsid w:val="00C63E79"/>
    <w:rsid w:val="00C7464E"/>
    <w:rsid w:val="00CC1F3E"/>
    <w:rsid w:val="00CD3304"/>
    <w:rsid w:val="00CF3F10"/>
    <w:rsid w:val="00CF4880"/>
    <w:rsid w:val="00D03493"/>
    <w:rsid w:val="00D070D6"/>
    <w:rsid w:val="00D46BD5"/>
    <w:rsid w:val="00D732DA"/>
    <w:rsid w:val="00DC3601"/>
    <w:rsid w:val="00E76F59"/>
    <w:rsid w:val="00E84D91"/>
    <w:rsid w:val="00E95A5C"/>
    <w:rsid w:val="00EC35E2"/>
    <w:rsid w:val="00EC3DC5"/>
    <w:rsid w:val="00EE4258"/>
    <w:rsid w:val="00F03E0D"/>
    <w:rsid w:val="00F15EEC"/>
    <w:rsid w:val="00F23726"/>
    <w:rsid w:val="00F57C8A"/>
    <w:rsid w:val="00F718E2"/>
    <w:rsid w:val="00F96F5E"/>
    <w:rsid w:val="00FA1FC3"/>
    <w:rsid w:val="00FE766C"/>
    <w:rsid w:val="00FF7C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119AC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47244"/>
    <w:pPr>
      <w:tabs>
        <w:tab w:val="left" w:pos="284"/>
      </w:tabs>
      <w:spacing w:line="240" w:lineRule="exact"/>
      <w:jc w:val="both"/>
    </w:pPr>
    <w:rPr>
      <w:rFonts w:ascii="Times" w:hAnsi="Times"/>
    </w:rPr>
  </w:style>
  <w:style w:type="paragraph" w:styleId="Titolo1">
    <w:name w:val="heading 1"/>
    <w:next w:val="Titolo2"/>
    <w:link w:val="Titolo1Carattere"/>
    <w:qFormat/>
    <w:rsid w:val="003C7B61"/>
    <w:pPr>
      <w:spacing w:before="480" w:line="240" w:lineRule="exact"/>
      <w:outlineLvl w:val="0"/>
    </w:pPr>
    <w:rPr>
      <w:rFonts w:ascii="Times" w:hAnsi="Times"/>
      <w:b/>
      <w:noProof/>
    </w:rPr>
  </w:style>
  <w:style w:type="paragraph" w:styleId="Titolo2">
    <w:name w:val="heading 2"/>
    <w:next w:val="Titolo3"/>
    <w:link w:val="Titolo2Carattere"/>
    <w:qFormat/>
    <w:rsid w:val="003C7B61"/>
    <w:pPr>
      <w:spacing w:line="240" w:lineRule="exact"/>
      <w:outlineLvl w:val="1"/>
    </w:pPr>
    <w:rPr>
      <w:rFonts w:ascii="Times" w:hAnsi="Times"/>
      <w:smallCaps/>
      <w:noProof/>
      <w:sz w:val="18"/>
    </w:rPr>
  </w:style>
  <w:style w:type="paragraph" w:styleId="Titolo3">
    <w:name w:val="heading 3"/>
    <w:next w:val="Normale"/>
    <w:qFormat/>
    <w:rsid w:val="003C7B61"/>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1Carattere">
    <w:name w:val="Testo 1 Carattere"/>
    <w:link w:val="Testo1"/>
    <w:rsid w:val="00C47244"/>
    <w:rPr>
      <w:rFonts w:ascii="Times" w:hAnsi="Times"/>
      <w:noProof/>
      <w:sz w:val="18"/>
      <w:lang w:val="it-IT" w:eastAsia="it-IT" w:bidi="ar-SA"/>
    </w:rPr>
  </w:style>
  <w:style w:type="paragraph" w:customStyle="1" w:styleId="Testo1">
    <w:name w:val="Testo 1"/>
    <w:link w:val="Testo1Carattere"/>
    <w:rsid w:val="003C7B61"/>
    <w:pPr>
      <w:spacing w:line="220" w:lineRule="exact"/>
      <w:ind w:left="284" w:hanging="284"/>
      <w:jc w:val="both"/>
    </w:pPr>
    <w:rPr>
      <w:rFonts w:ascii="Times" w:hAnsi="Times"/>
      <w:noProof/>
      <w:sz w:val="18"/>
    </w:rPr>
  </w:style>
  <w:style w:type="paragraph" w:customStyle="1" w:styleId="Testo2">
    <w:name w:val="Testo 2"/>
    <w:link w:val="Testo2Carattere"/>
    <w:rsid w:val="003C7B61"/>
    <w:pPr>
      <w:spacing w:line="220" w:lineRule="exact"/>
      <w:ind w:firstLine="284"/>
      <w:jc w:val="both"/>
    </w:pPr>
    <w:rPr>
      <w:rFonts w:ascii="Times" w:hAnsi="Times"/>
      <w:noProof/>
      <w:sz w:val="18"/>
    </w:rPr>
  </w:style>
  <w:style w:type="paragraph" w:styleId="Testofumetto">
    <w:name w:val="Balloon Text"/>
    <w:basedOn w:val="Normale"/>
    <w:link w:val="TestofumettoCarattere"/>
    <w:rsid w:val="003272E3"/>
    <w:pPr>
      <w:spacing w:line="240" w:lineRule="auto"/>
    </w:pPr>
    <w:rPr>
      <w:rFonts w:ascii="Tahoma" w:hAnsi="Tahoma"/>
      <w:sz w:val="16"/>
      <w:szCs w:val="16"/>
    </w:rPr>
  </w:style>
  <w:style w:type="character" w:customStyle="1" w:styleId="TestofumettoCarattere">
    <w:name w:val="Testo fumetto Carattere"/>
    <w:link w:val="Testofumetto"/>
    <w:rsid w:val="003272E3"/>
    <w:rPr>
      <w:rFonts w:ascii="Tahoma" w:hAnsi="Tahoma" w:cs="Tahoma"/>
      <w:sz w:val="16"/>
      <w:szCs w:val="16"/>
    </w:rPr>
  </w:style>
  <w:style w:type="paragraph" w:styleId="Mappadocumento">
    <w:name w:val="Document Map"/>
    <w:basedOn w:val="Normale"/>
    <w:link w:val="MappadocumentoCarattere"/>
    <w:rsid w:val="00331C8D"/>
    <w:rPr>
      <w:rFonts w:ascii="Tahoma" w:hAnsi="Tahoma" w:cs="Tahoma"/>
      <w:sz w:val="16"/>
      <w:szCs w:val="16"/>
    </w:rPr>
  </w:style>
  <w:style w:type="character" w:customStyle="1" w:styleId="MappadocumentoCarattere">
    <w:name w:val="Mappa documento Carattere"/>
    <w:link w:val="Mappadocumento"/>
    <w:rsid w:val="00331C8D"/>
    <w:rPr>
      <w:rFonts w:ascii="Tahoma" w:hAnsi="Tahoma" w:cs="Tahoma"/>
      <w:sz w:val="16"/>
      <w:szCs w:val="16"/>
    </w:rPr>
  </w:style>
  <w:style w:type="character" w:styleId="Collegamentoipertestuale">
    <w:name w:val="Hyperlink"/>
    <w:basedOn w:val="Carpredefinitoparagrafo"/>
    <w:uiPriority w:val="99"/>
    <w:unhideWhenUsed/>
    <w:rsid w:val="00560D0E"/>
    <w:rPr>
      <w:color w:val="0000FF"/>
      <w:u w:val="single"/>
    </w:rPr>
  </w:style>
  <w:style w:type="character" w:customStyle="1" w:styleId="Titolo1Carattere">
    <w:name w:val="Titolo 1 Carattere"/>
    <w:basedOn w:val="Carpredefinitoparagrafo"/>
    <w:link w:val="Titolo1"/>
    <w:rsid w:val="00EE4258"/>
    <w:rPr>
      <w:rFonts w:ascii="Times" w:hAnsi="Times"/>
      <w:b/>
      <w:noProof/>
    </w:rPr>
  </w:style>
  <w:style w:type="character" w:customStyle="1" w:styleId="Titolo2Carattere">
    <w:name w:val="Titolo 2 Carattere"/>
    <w:basedOn w:val="Carpredefinitoparagrafo"/>
    <w:link w:val="Titolo2"/>
    <w:rsid w:val="00EE4258"/>
    <w:rPr>
      <w:rFonts w:ascii="Times" w:hAnsi="Times"/>
      <w:smallCaps/>
      <w:noProof/>
      <w:sz w:val="18"/>
    </w:rPr>
  </w:style>
  <w:style w:type="character" w:customStyle="1" w:styleId="Testo2Carattere">
    <w:name w:val="Testo 2 Carattere"/>
    <w:link w:val="Testo2"/>
    <w:locked/>
    <w:rsid w:val="00EE4258"/>
    <w:rPr>
      <w:rFonts w:ascii="Times" w:hAnsi="Times"/>
      <w:noProof/>
      <w:sz w:val="18"/>
    </w:rPr>
  </w:style>
  <w:style w:type="paragraph" w:styleId="Corpotesto">
    <w:name w:val="Body Text"/>
    <w:basedOn w:val="Normale"/>
    <w:link w:val="CorpotestoCarattere"/>
    <w:rsid w:val="00907A54"/>
    <w:pPr>
      <w:widowControl w:val="0"/>
      <w:tabs>
        <w:tab w:val="clear" w:pos="284"/>
      </w:tabs>
      <w:autoSpaceDE w:val="0"/>
      <w:autoSpaceDN w:val="0"/>
      <w:spacing w:before="60" w:after="60" w:line="240" w:lineRule="auto"/>
    </w:pPr>
    <w:rPr>
      <w:rFonts w:ascii="Verdana" w:hAnsi="Verdana"/>
      <w:bCs/>
      <w:lang w:val="en-GB" w:eastAsia="en-US"/>
    </w:rPr>
  </w:style>
  <w:style w:type="character" w:customStyle="1" w:styleId="CorpotestoCarattere">
    <w:name w:val="Corpo testo Carattere"/>
    <w:basedOn w:val="Carpredefinitoparagrafo"/>
    <w:link w:val="Corpotesto"/>
    <w:rsid w:val="00907A54"/>
    <w:rPr>
      <w:rFonts w:ascii="Verdana" w:hAnsi="Verdana"/>
      <w:bCs/>
      <w:lang w:val="en-GB" w:eastAsia="en-US"/>
    </w:rPr>
  </w:style>
  <w:style w:type="paragraph" w:styleId="Paragrafoelenco">
    <w:name w:val="List Paragraph"/>
    <w:basedOn w:val="Normale"/>
    <w:uiPriority w:val="34"/>
    <w:qFormat/>
    <w:rsid w:val="00303409"/>
    <w:pPr>
      <w:ind w:left="720"/>
      <w:contextualSpacing/>
    </w:pPr>
  </w:style>
  <w:style w:type="paragraph" w:styleId="Bibliografia">
    <w:name w:val="Bibliography"/>
    <w:basedOn w:val="Normale"/>
    <w:next w:val="Normale"/>
    <w:uiPriority w:val="37"/>
    <w:unhideWhenUsed/>
    <w:rsid w:val="00F15EEC"/>
    <w:pPr>
      <w:tabs>
        <w:tab w:val="clear" w:pos="284"/>
      </w:tabs>
      <w:spacing w:after="240"/>
      <w:ind w:left="720" w:hanging="720"/>
    </w:pPr>
  </w:style>
  <w:style w:type="character" w:styleId="Collegamentovisitato">
    <w:name w:val="FollowedHyperlink"/>
    <w:basedOn w:val="Carpredefinitoparagrafo"/>
    <w:rsid w:val="002D74F8"/>
    <w:rPr>
      <w:color w:val="800080" w:themeColor="followedHyperlink"/>
      <w:u w:val="single"/>
    </w:rPr>
  </w:style>
  <w:style w:type="paragraph" w:styleId="Intestazione">
    <w:name w:val="header"/>
    <w:basedOn w:val="Normale"/>
    <w:link w:val="IntestazioneCarattere"/>
    <w:unhideWhenUsed/>
    <w:rsid w:val="00D03493"/>
    <w:pPr>
      <w:tabs>
        <w:tab w:val="clear" w:pos="284"/>
        <w:tab w:val="center" w:pos="4819"/>
        <w:tab w:val="right" w:pos="9638"/>
      </w:tabs>
      <w:spacing w:line="240" w:lineRule="auto"/>
    </w:pPr>
  </w:style>
  <w:style w:type="character" w:customStyle="1" w:styleId="IntestazioneCarattere">
    <w:name w:val="Intestazione Carattere"/>
    <w:basedOn w:val="Carpredefinitoparagrafo"/>
    <w:link w:val="Intestazione"/>
    <w:rsid w:val="00D03493"/>
    <w:rPr>
      <w:rFonts w:ascii="Times" w:hAnsi="Times"/>
    </w:rPr>
  </w:style>
  <w:style w:type="paragraph" w:styleId="Pidipagina">
    <w:name w:val="footer"/>
    <w:basedOn w:val="Normale"/>
    <w:link w:val="PidipaginaCarattere"/>
    <w:unhideWhenUsed/>
    <w:rsid w:val="00D03493"/>
    <w:pPr>
      <w:tabs>
        <w:tab w:val="clear" w:pos="284"/>
        <w:tab w:val="center" w:pos="4819"/>
        <w:tab w:val="right" w:pos="9638"/>
      </w:tabs>
      <w:spacing w:line="240" w:lineRule="auto"/>
    </w:pPr>
  </w:style>
  <w:style w:type="character" w:customStyle="1" w:styleId="PidipaginaCarattere">
    <w:name w:val="Piè di pagina Carattere"/>
    <w:basedOn w:val="Carpredefinitoparagrafo"/>
    <w:link w:val="Pidipagina"/>
    <w:rsid w:val="00D03493"/>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47469">
      <w:bodyDiv w:val="1"/>
      <w:marLeft w:val="0"/>
      <w:marRight w:val="0"/>
      <w:marTop w:val="0"/>
      <w:marBottom w:val="0"/>
      <w:divBdr>
        <w:top w:val="none" w:sz="0" w:space="0" w:color="auto"/>
        <w:left w:val="none" w:sz="0" w:space="0" w:color="auto"/>
        <w:bottom w:val="none" w:sz="0" w:space="0" w:color="auto"/>
        <w:right w:val="none" w:sz="0" w:space="0" w:color="auto"/>
      </w:divBdr>
    </w:div>
    <w:div w:id="219051564">
      <w:bodyDiv w:val="1"/>
      <w:marLeft w:val="0"/>
      <w:marRight w:val="0"/>
      <w:marTop w:val="0"/>
      <w:marBottom w:val="0"/>
      <w:divBdr>
        <w:top w:val="none" w:sz="0" w:space="0" w:color="auto"/>
        <w:left w:val="none" w:sz="0" w:space="0" w:color="auto"/>
        <w:bottom w:val="none" w:sz="0" w:space="0" w:color="auto"/>
        <w:right w:val="none" w:sz="0" w:space="0" w:color="auto"/>
      </w:divBdr>
    </w:div>
    <w:div w:id="267281086">
      <w:bodyDiv w:val="1"/>
      <w:marLeft w:val="0"/>
      <w:marRight w:val="0"/>
      <w:marTop w:val="0"/>
      <w:marBottom w:val="0"/>
      <w:divBdr>
        <w:top w:val="none" w:sz="0" w:space="0" w:color="auto"/>
        <w:left w:val="none" w:sz="0" w:space="0" w:color="auto"/>
        <w:bottom w:val="none" w:sz="0" w:space="0" w:color="auto"/>
        <w:right w:val="none" w:sz="0" w:space="0" w:color="auto"/>
      </w:divBdr>
      <w:divsChild>
        <w:div w:id="1989438976">
          <w:marLeft w:val="0"/>
          <w:marRight w:val="0"/>
          <w:marTop w:val="0"/>
          <w:marBottom w:val="120"/>
          <w:divBdr>
            <w:top w:val="none" w:sz="0" w:space="0" w:color="auto"/>
            <w:left w:val="none" w:sz="0" w:space="0" w:color="auto"/>
            <w:bottom w:val="none" w:sz="0" w:space="0" w:color="auto"/>
            <w:right w:val="none" w:sz="0" w:space="0" w:color="auto"/>
          </w:divBdr>
        </w:div>
      </w:divsChild>
    </w:div>
    <w:div w:id="923805123">
      <w:bodyDiv w:val="1"/>
      <w:marLeft w:val="0"/>
      <w:marRight w:val="0"/>
      <w:marTop w:val="0"/>
      <w:marBottom w:val="0"/>
      <w:divBdr>
        <w:top w:val="none" w:sz="0" w:space="0" w:color="auto"/>
        <w:left w:val="none" w:sz="0" w:space="0" w:color="auto"/>
        <w:bottom w:val="none" w:sz="0" w:space="0" w:color="auto"/>
        <w:right w:val="none" w:sz="0" w:space="0" w:color="auto"/>
      </w:divBdr>
    </w:div>
    <w:div w:id="1136727493">
      <w:bodyDiv w:val="1"/>
      <w:marLeft w:val="0"/>
      <w:marRight w:val="0"/>
      <w:marTop w:val="0"/>
      <w:marBottom w:val="0"/>
      <w:divBdr>
        <w:top w:val="none" w:sz="0" w:space="0" w:color="auto"/>
        <w:left w:val="none" w:sz="0" w:space="0" w:color="auto"/>
        <w:bottom w:val="none" w:sz="0" w:space="0" w:color="auto"/>
        <w:right w:val="none" w:sz="0" w:space="0" w:color="auto"/>
      </w:divBdr>
    </w:div>
    <w:div w:id="213818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docenti.unicatt.it/"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9C61468D872AD4BA157CF0DC21FF4BD" ma:contentTypeVersion="15" ma:contentTypeDescription="Creare un nuovo documento." ma:contentTypeScope="" ma:versionID="6d3040e88973bcac1fdcf155d9a80fe1">
  <xsd:schema xmlns:xsd="http://www.w3.org/2001/XMLSchema" xmlns:xs="http://www.w3.org/2001/XMLSchema" xmlns:p="http://schemas.microsoft.com/office/2006/metadata/properties" xmlns:ns2="bde9ea70-b558-476b-80ed-adb3bdeea2b5" xmlns:ns3="e408679e-e4c4-4629-b11b-4474d6e913f6" targetNamespace="http://schemas.microsoft.com/office/2006/metadata/properties" ma:root="true" ma:fieldsID="a3ff8b1eb960c7366805821612c5ae17" ns2:_="" ns3:_="">
    <xsd:import namespace="bde9ea70-b558-476b-80ed-adb3bdeea2b5"/>
    <xsd:import namespace="e408679e-e4c4-4629-b11b-4474d6e913f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14" nillable="true" ma:displayName="Taxonomy Catch All Column" ma:hidden="true" ma:list="{56230b7f-1864-424f-a6a0-3b11093db6d6}"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408679e-e4c4-4629-b11b-4474d6e913f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de9ea70-b558-476b-80ed-adb3bdeea2b5" xsi:nil="true"/>
    <lcf76f155ced4ddcb4097134ff3c332f xmlns="e408679e-e4c4-4629-b11b-4474d6e913f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2E03DE-B10B-4557-958B-AE7553FBCE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e9ea70-b558-476b-80ed-adb3bdeea2b5"/>
    <ds:schemaRef ds:uri="e408679e-e4c4-4629-b11b-4474d6e913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59DEA4-1406-400F-913E-8C105582354F}">
  <ds:schemaRefs>
    <ds:schemaRef ds:uri="http://schemas.microsoft.com/office/2006/metadata/properties"/>
    <ds:schemaRef ds:uri="http://schemas.microsoft.com/office/infopath/2007/PartnerControls"/>
    <ds:schemaRef ds:uri="bde9ea70-b558-476b-80ed-adb3bdeea2b5"/>
    <ds:schemaRef ds:uri="e408679e-e4c4-4629-b11b-4474d6e913f6"/>
  </ds:schemaRefs>
</ds:datastoreItem>
</file>

<file path=customXml/itemProps3.xml><?xml version="1.0" encoding="utf-8"?>
<ds:datastoreItem xmlns:ds="http://schemas.openxmlformats.org/officeDocument/2006/customXml" ds:itemID="{AC6F7C15-6ADC-4573-B32D-08E6C399470A}">
  <ds:schemaRefs>
    <ds:schemaRef ds:uri="http://schemas.microsoft.com/sharepoint/v3/contenttype/forms"/>
  </ds:schemaRefs>
</ds:datastoreItem>
</file>

<file path=docMetadata/LabelInfo.xml><?xml version="1.0" encoding="utf-8"?>
<clbl:labelList xmlns:clbl="http://schemas.microsoft.com/office/2020/mipLabelMetadata">
  <clbl:label id="{c44f471b-c90d-48ba-9261-bbb101e695d1}" enabled="1" method="Standard" siteId="{b94f7d74-81ff-44a9-b588-6682acc85779}"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1113</Words>
  <Characters>6350</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3</vt:lpstr>
    </vt:vector>
  </TitlesOfParts>
  <Company>U.C.S.C. MILANO</Company>
  <LinksUpToDate>false</LinksUpToDate>
  <CharactersWithSpaces>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creator>Arianna Molinaroli</dc:creator>
  <cp:lastModifiedBy>Molinaroli Arianna (arianna.molinaroli)</cp:lastModifiedBy>
  <cp:revision>4</cp:revision>
  <cp:lastPrinted>2003-03-27T09:42:00Z</cp:lastPrinted>
  <dcterms:created xsi:type="dcterms:W3CDTF">2026-06-16T09:42:00Z</dcterms:created>
  <dcterms:modified xsi:type="dcterms:W3CDTF">2026-06-17T12:32:00Z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zotero-version="5.0.87"&gt;&lt;session id="MQ2PMKGv"/&gt;&lt;style id="http://www.zotero.org/styles/american-sociological-association" locale="en-US" hasBibliography="1" bibliographyStyleHasBeenSet="1"/&gt;&lt;prefs&gt;&lt;pref name="fieldType" value="Fiel</vt:lpwstr>
  </property>
  <property fmtid="{D5CDD505-2E9C-101B-9397-08002B2CF9AE}" pid="3" name="ZOTERO_PREF_2">
    <vt:lpwstr>d"/&gt;&lt;pref name="automaticJournalAbbreviations" value="true"/&gt;&lt;/prefs&gt;&lt;/data&gt;</vt:lpwstr>
  </property>
  <property fmtid="{D5CDD505-2E9C-101B-9397-08002B2CF9AE}" pid="4" name="ContentTypeId">
    <vt:lpwstr>0x01010089C61468D872AD4BA157CF0DC21FF4BD</vt:lpwstr>
  </property>
  <property fmtid="{D5CDD505-2E9C-101B-9397-08002B2CF9AE}" pid="5" name="Order">
    <vt:r8>1428000</vt:r8>
  </property>
  <property fmtid="{D5CDD505-2E9C-101B-9397-08002B2CF9AE}" pid="6" name="MediaServiceImageTags">
    <vt:lpwstr/>
  </property>
</Properties>
</file>