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F565D" w14:textId="77777777" w:rsidR="008D7162" w:rsidRPr="00F31276" w:rsidRDefault="008D7162" w:rsidP="008D7162">
      <w:pPr>
        <w:pStyle w:val="Titolo1"/>
      </w:pPr>
      <w:r w:rsidRPr="00F31276">
        <w:t>Microeconomia (per la finanza)</w:t>
      </w:r>
    </w:p>
    <w:p w14:paraId="0CF12334" w14:textId="77777777" w:rsidR="008D7162" w:rsidRDefault="008D7162" w:rsidP="008D7162">
      <w:pPr>
        <w:pStyle w:val="Titolo2"/>
      </w:pPr>
      <w:r w:rsidRPr="00F31276">
        <w:t>Prof. Ferdinando Colombo</w:t>
      </w:r>
    </w:p>
    <w:p w14:paraId="19E02735" w14:textId="77777777" w:rsidR="002D5E17" w:rsidRDefault="008D7162" w:rsidP="008D7162">
      <w:pPr>
        <w:spacing w:before="240" w:after="120" w:line="240" w:lineRule="exact"/>
        <w:rPr>
          <w:b/>
          <w:sz w:val="18"/>
        </w:rPr>
      </w:pPr>
      <w:r>
        <w:rPr>
          <w:b/>
          <w:i/>
          <w:sz w:val="18"/>
        </w:rPr>
        <w:t>OBIETTIVO DEL CORSO E RISULTATI DI APPRENDIMENTO ATTESI</w:t>
      </w:r>
    </w:p>
    <w:p w14:paraId="474CE143" w14:textId="0978511B" w:rsidR="008D7162" w:rsidRDefault="008D7162" w:rsidP="008D7162">
      <w:pPr>
        <w:tabs>
          <w:tab w:val="clear" w:pos="284"/>
        </w:tabs>
        <w:rPr>
          <w:rFonts w:eastAsia="Calibri"/>
          <w:szCs w:val="22"/>
          <w:lang w:eastAsia="en-US"/>
        </w:rPr>
      </w:pPr>
      <w:r w:rsidRPr="00F31276">
        <w:rPr>
          <w:rFonts w:eastAsia="Calibri"/>
          <w:szCs w:val="22"/>
          <w:lang w:eastAsia="en-US"/>
        </w:rPr>
        <w:t>Il corso si avvale dei risultati della teoria microeconomica per fornire agli studenti una conoscenza approfondita dei fondamenti dell</w:t>
      </w:r>
      <w:r w:rsidR="00F40458">
        <w:rPr>
          <w:rFonts w:eastAsia="Calibri"/>
          <w:szCs w:val="22"/>
          <w:lang w:eastAsia="en-US"/>
        </w:rPr>
        <w:t>’</w:t>
      </w:r>
      <w:r w:rsidRPr="00F31276">
        <w:rPr>
          <w:rFonts w:eastAsia="Calibri"/>
          <w:szCs w:val="22"/>
          <w:lang w:eastAsia="en-US"/>
        </w:rPr>
        <w:t>economia finanziaria.</w:t>
      </w:r>
      <w:r>
        <w:rPr>
          <w:rFonts w:eastAsia="Calibri"/>
          <w:szCs w:val="22"/>
          <w:lang w:eastAsia="en-US"/>
        </w:rPr>
        <w:t xml:space="preserve"> </w:t>
      </w:r>
      <w:r w:rsidRPr="00F31276">
        <w:rPr>
          <w:rFonts w:eastAsia="Calibri"/>
          <w:szCs w:val="22"/>
          <w:lang w:eastAsia="en-US"/>
        </w:rPr>
        <w:t>La</w:t>
      </w:r>
      <w:r w:rsidR="005F0914">
        <w:rPr>
          <w:rFonts w:eastAsia="Calibri"/>
          <w:szCs w:val="22"/>
          <w:lang w:eastAsia="en-US"/>
        </w:rPr>
        <w:t xml:space="preserve"> presentazione della</w:t>
      </w:r>
      <w:r w:rsidRPr="00F31276">
        <w:rPr>
          <w:rFonts w:eastAsia="Calibri"/>
          <w:szCs w:val="22"/>
          <w:lang w:eastAsia="en-US"/>
        </w:rPr>
        <w:t xml:space="preserve"> parte teorica è costantemente affiancata da </w:t>
      </w:r>
      <w:r w:rsidR="00CD52F1">
        <w:rPr>
          <w:rFonts w:eastAsia="Calibri"/>
          <w:szCs w:val="22"/>
          <w:lang w:eastAsia="en-US"/>
        </w:rPr>
        <w:t xml:space="preserve">applicazioni economiche </w:t>
      </w:r>
      <w:r w:rsidR="00714D39">
        <w:rPr>
          <w:rFonts w:eastAsia="Calibri"/>
          <w:szCs w:val="22"/>
          <w:lang w:eastAsia="en-US"/>
        </w:rPr>
        <w:t>ed esercizi</w:t>
      </w:r>
      <w:r w:rsidRPr="00F31276">
        <w:rPr>
          <w:rFonts w:eastAsia="Calibri"/>
          <w:szCs w:val="22"/>
          <w:lang w:eastAsia="en-US"/>
        </w:rPr>
        <w:t xml:space="preserve"> numerici, </w:t>
      </w:r>
      <w:r w:rsidR="00714D39">
        <w:rPr>
          <w:rFonts w:eastAsia="Calibri"/>
          <w:szCs w:val="22"/>
          <w:lang w:eastAsia="en-US"/>
        </w:rPr>
        <w:t>i</w:t>
      </w:r>
      <w:r w:rsidRPr="00F31276">
        <w:rPr>
          <w:rFonts w:eastAsia="Calibri"/>
          <w:szCs w:val="22"/>
          <w:lang w:eastAsia="en-US"/>
        </w:rPr>
        <w:t xml:space="preserve"> quali hanno lo scopo di aiutare gli studenti a comprendere</w:t>
      </w:r>
      <w:r>
        <w:rPr>
          <w:rFonts w:eastAsia="Calibri"/>
          <w:szCs w:val="22"/>
          <w:lang w:eastAsia="en-US"/>
        </w:rPr>
        <w:t xml:space="preserve"> </w:t>
      </w:r>
      <w:r w:rsidRPr="00F31276">
        <w:rPr>
          <w:rFonts w:eastAsia="Calibri"/>
          <w:szCs w:val="22"/>
          <w:lang w:eastAsia="en-US"/>
        </w:rPr>
        <w:t xml:space="preserve">i concetti economico-finanziari </w:t>
      </w:r>
      <w:r w:rsidR="00026047">
        <w:rPr>
          <w:rFonts w:eastAsia="Calibri"/>
          <w:szCs w:val="22"/>
          <w:lang w:eastAsia="en-US"/>
        </w:rPr>
        <w:t xml:space="preserve">e i risultati analitici </w:t>
      </w:r>
      <w:r w:rsidR="005F0914">
        <w:rPr>
          <w:rFonts w:eastAsia="Calibri"/>
          <w:szCs w:val="22"/>
          <w:lang w:eastAsia="en-US"/>
        </w:rPr>
        <w:t>introdotti</w:t>
      </w:r>
      <w:r w:rsidRPr="00F31276">
        <w:rPr>
          <w:rFonts w:eastAsia="Calibri"/>
          <w:szCs w:val="22"/>
          <w:lang w:eastAsia="en-US"/>
        </w:rPr>
        <w:t xml:space="preserve"> nel corso.</w:t>
      </w:r>
      <w:r w:rsidR="005F0914">
        <w:rPr>
          <w:rFonts w:eastAsia="Calibri"/>
          <w:szCs w:val="22"/>
          <w:lang w:eastAsia="en-US"/>
        </w:rPr>
        <w:t xml:space="preserve"> </w:t>
      </w:r>
    </w:p>
    <w:p w14:paraId="6B6AAC57" w14:textId="77777777" w:rsidR="008D7162" w:rsidRDefault="008D7162" w:rsidP="008D7162">
      <w:pPr>
        <w:tabs>
          <w:tab w:val="clear" w:pos="284"/>
        </w:tabs>
        <w:rPr>
          <w:rFonts w:eastAsia="Calibri"/>
          <w:szCs w:val="22"/>
          <w:lang w:eastAsia="en-US"/>
        </w:rPr>
      </w:pPr>
      <w:r>
        <w:rPr>
          <w:rFonts w:eastAsia="Calibri"/>
          <w:szCs w:val="22"/>
          <w:lang w:eastAsia="en-US"/>
        </w:rPr>
        <w:t>Al termine del corso lo studente</w:t>
      </w:r>
    </w:p>
    <w:p w14:paraId="7662801C" w14:textId="7E04EE3E" w:rsidR="008D7162" w:rsidRPr="006358BF" w:rsidRDefault="008D7162" w:rsidP="00122EAD">
      <w:pPr>
        <w:pStyle w:val="Paragrafoelenco"/>
        <w:numPr>
          <w:ilvl w:val="0"/>
          <w:numId w:val="1"/>
        </w:numPr>
        <w:tabs>
          <w:tab w:val="clear" w:pos="284"/>
        </w:tabs>
        <w:ind w:left="284" w:hanging="284"/>
        <w:rPr>
          <w:rFonts w:eastAsia="Calibri"/>
          <w:szCs w:val="20"/>
          <w:lang w:eastAsia="en-US"/>
        </w:rPr>
      </w:pPr>
      <w:r w:rsidRPr="006358BF">
        <w:rPr>
          <w:rFonts w:eastAsia="Calibri"/>
          <w:szCs w:val="22"/>
          <w:lang w:eastAsia="en-US"/>
        </w:rPr>
        <w:t xml:space="preserve">conoscerà e saprà comprendere la </w:t>
      </w:r>
      <w:r w:rsidRPr="006358BF">
        <w:rPr>
          <w:rFonts w:eastAsia="Calibri"/>
          <w:szCs w:val="20"/>
          <w:lang w:eastAsia="en-US"/>
        </w:rPr>
        <w:t xml:space="preserve">teoria </w:t>
      </w:r>
      <w:r w:rsidR="00CD52F1">
        <w:rPr>
          <w:rFonts w:eastAsia="Calibri"/>
          <w:szCs w:val="20"/>
          <w:lang w:eastAsia="en-US"/>
        </w:rPr>
        <w:t xml:space="preserve">della scelta razionale in presenza di rischio o di incertezza, </w:t>
      </w:r>
      <w:r w:rsidRPr="006358BF">
        <w:rPr>
          <w:rFonts w:eastAsia="Calibri"/>
          <w:szCs w:val="20"/>
          <w:lang w:eastAsia="en-US"/>
        </w:rPr>
        <w:t>l’aggiornamento</w:t>
      </w:r>
      <w:r w:rsidR="00CD52F1">
        <w:rPr>
          <w:rFonts w:eastAsia="Calibri"/>
          <w:szCs w:val="20"/>
          <w:lang w:eastAsia="en-US"/>
        </w:rPr>
        <w:t xml:space="preserve"> razionale</w:t>
      </w:r>
      <w:r w:rsidRPr="006358BF">
        <w:rPr>
          <w:rFonts w:eastAsia="Calibri"/>
          <w:szCs w:val="20"/>
          <w:lang w:eastAsia="en-US"/>
        </w:rPr>
        <w:t xml:space="preserve"> delle credenze</w:t>
      </w:r>
      <w:r w:rsidR="00CD52F1">
        <w:rPr>
          <w:rFonts w:eastAsia="Calibri"/>
          <w:szCs w:val="20"/>
          <w:lang w:eastAsia="en-US"/>
        </w:rPr>
        <w:t xml:space="preserve"> data una struttura informativa</w:t>
      </w:r>
      <w:r w:rsidRPr="006358BF">
        <w:rPr>
          <w:rFonts w:eastAsia="Calibri"/>
          <w:szCs w:val="20"/>
          <w:lang w:eastAsia="en-US"/>
        </w:rPr>
        <w:t>, la scelta</w:t>
      </w:r>
      <w:r w:rsidRPr="006358BF">
        <w:rPr>
          <w:szCs w:val="20"/>
        </w:rPr>
        <w:t xml:space="preserve"> di investimento in funzione delle relazioni probabilistiche tra i diversi</w:t>
      </w:r>
      <w:r w:rsidR="00CD52F1">
        <w:rPr>
          <w:szCs w:val="20"/>
        </w:rPr>
        <w:t xml:space="preserve"> titoli,</w:t>
      </w:r>
      <w:r w:rsidRPr="006358BF">
        <w:rPr>
          <w:szCs w:val="20"/>
        </w:rPr>
        <w:t xml:space="preserve"> i possibili vantaggi derivanti dalla presenza di mercati finanziari evoluti, le determinanti dei prezzi de</w:t>
      </w:r>
      <w:r w:rsidR="00CD52F1">
        <w:rPr>
          <w:szCs w:val="20"/>
        </w:rPr>
        <w:t>i titoli</w:t>
      </w:r>
      <w:r w:rsidRPr="006358BF">
        <w:rPr>
          <w:szCs w:val="20"/>
        </w:rPr>
        <w:t xml:space="preserve">, </w:t>
      </w:r>
      <w:r w:rsidR="00CD52F1">
        <w:rPr>
          <w:szCs w:val="20"/>
        </w:rPr>
        <w:t xml:space="preserve">nonché </w:t>
      </w:r>
      <w:r w:rsidRPr="006358BF">
        <w:rPr>
          <w:szCs w:val="20"/>
        </w:rPr>
        <w:t xml:space="preserve">i fattori psicologici che possono indurre gli investitori a </w:t>
      </w:r>
      <w:r w:rsidR="00CD52F1">
        <w:rPr>
          <w:szCs w:val="20"/>
        </w:rPr>
        <w:t>fare</w:t>
      </w:r>
      <w:r w:rsidRPr="006358BF">
        <w:rPr>
          <w:szCs w:val="20"/>
        </w:rPr>
        <w:t xml:space="preserve"> scelte «irrazionali»</w:t>
      </w:r>
      <w:r w:rsidR="00221CDA">
        <w:rPr>
          <w:szCs w:val="20"/>
        </w:rPr>
        <w:t>. Ciò gli permetterà</w:t>
      </w:r>
      <w:r>
        <w:rPr>
          <w:szCs w:val="20"/>
        </w:rPr>
        <w:t xml:space="preserve"> di elaborare strategie di investimento </w:t>
      </w:r>
      <w:r w:rsidR="00221CDA">
        <w:rPr>
          <w:szCs w:val="20"/>
        </w:rPr>
        <w:t>adeguate alle esigenze del cliente, nonché</w:t>
      </w:r>
      <w:r>
        <w:rPr>
          <w:szCs w:val="20"/>
        </w:rPr>
        <w:t xml:space="preserve"> di gestire efficacemente </w:t>
      </w:r>
      <w:r w:rsidR="00CD52F1">
        <w:rPr>
          <w:szCs w:val="20"/>
        </w:rPr>
        <w:t xml:space="preserve">eventuali </w:t>
      </w:r>
      <w:r>
        <w:rPr>
          <w:szCs w:val="20"/>
        </w:rPr>
        <w:t>rapporti di consulenza finanziaria.</w:t>
      </w:r>
    </w:p>
    <w:p w14:paraId="3BD9B1C6" w14:textId="36C6CA3E" w:rsidR="008D7162" w:rsidRPr="00C80341" w:rsidRDefault="008D7162" w:rsidP="00122EAD">
      <w:pPr>
        <w:pStyle w:val="Paragrafoelenco"/>
        <w:numPr>
          <w:ilvl w:val="0"/>
          <w:numId w:val="1"/>
        </w:numPr>
        <w:tabs>
          <w:tab w:val="clear" w:pos="284"/>
        </w:tabs>
        <w:ind w:left="284" w:hanging="284"/>
        <w:rPr>
          <w:rFonts w:eastAsia="Calibri"/>
          <w:szCs w:val="20"/>
          <w:lang w:eastAsia="en-US"/>
        </w:rPr>
      </w:pPr>
      <w:r>
        <w:rPr>
          <w:szCs w:val="20"/>
        </w:rPr>
        <w:t>sarà in grado di utilizzare le conoscenze dell</w:t>
      </w:r>
      <w:r w:rsidR="006E20F0">
        <w:rPr>
          <w:szCs w:val="20"/>
        </w:rPr>
        <w:t>’</w:t>
      </w:r>
      <w:r>
        <w:rPr>
          <w:szCs w:val="20"/>
        </w:rPr>
        <w:t>economia finanziaria per individuare le strategie di investimento e di comunicazione più appropriate per i propri clienti, ten</w:t>
      </w:r>
      <w:r w:rsidR="00714D39">
        <w:rPr>
          <w:szCs w:val="20"/>
        </w:rPr>
        <w:t>endo eventualmente</w:t>
      </w:r>
      <w:r>
        <w:rPr>
          <w:szCs w:val="20"/>
        </w:rPr>
        <w:t xml:space="preserve"> conto dei fattori psicologici che possono </w:t>
      </w:r>
      <w:r w:rsidR="00CD52F1">
        <w:rPr>
          <w:szCs w:val="20"/>
        </w:rPr>
        <w:t>produrre</w:t>
      </w:r>
      <w:r>
        <w:rPr>
          <w:szCs w:val="20"/>
        </w:rPr>
        <w:t xml:space="preserve"> uno iato tra qualità oggettiva delle strategie e percezione </w:t>
      </w:r>
      <w:r w:rsidR="005F0914">
        <w:rPr>
          <w:szCs w:val="20"/>
        </w:rPr>
        <w:t xml:space="preserve">soggettiva </w:t>
      </w:r>
      <w:r>
        <w:rPr>
          <w:szCs w:val="20"/>
        </w:rPr>
        <w:t>degli investitori.</w:t>
      </w:r>
    </w:p>
    <w:p w14:paraId="2985DFA8" w14:textId="6D25BA23" w:rsidR="008D7162" w:rsidRPr="003A27CD" w:rsidRDefault="008D7162" w:rsidP="00122EAD">
      <w:pPr>
        <w:pStyle w:val="Paragrafoelenco"/>
        <w:numPr>
          <w:ilvl w:val="0"/>
          <w:numId w:val="1"/>
        </w:numPr>
        <w:tabs>
          <w:tab w:val="clear" w:pos="284"/>
        </w:tabs>
        <w:ind w:left="284" w:hanging="284"/>
        <w:rPr>
          <w:rFonts w:eastAsia="Calibri"/>
          <w:szCs w:val="20"/>
          <w:lang w:eastAsia="en-US"/>
        </w:rPr>
      </w:pPr>
      <w:r>
        <w:rPr>
          <w:szCs w:val="20"/>
        </w:rPr>
        <w:t>saprà interpretare e analizzare autonomamente l’enorme mole di dati economico-finanziari disponibili su numerose piattaforme specializzate, nonché elaborare scenari probabilistici alternativi.</w:t>
      </w:r>
    </w:p>
    <w:p w14:paraId="0FE20AFF" w14:textId="624459B3" w:rsidR="008D7162" w:rsidRPr="00CC61FB" w:rsidRDefault="008D7162" w:rsidP="00122EAD">
      <w:pPr>
        <w:pStyle w:val="Paragrafoelenco"/>
        <w:numPr>
          <w:ilvl w:val="0"/>
          <w:numId w:val="1"/>
        </w:numPr>
        <w:tabs>
          <w:tab w:val="clear" w:pos="284"/>
        </w:tabs>
        <w:ind w:left="284" w:hanging="284"/>
        <w:rPr>
          <w:rFonts w:eastAsia="Calibri"/>
          <w:szCs w:val="20"/>
          <w:lang w:eastAsia="en-US"/>
        </w:rPr>
      </w:pPr>
      <w:r>
        <w:rPr>
          <w:szCs w:val="20"/>
        </w:rPr>
        <w:t xml:space="preserve">sarà in grado di comunicare in modo chiaro e rigoroso - </w:t>
      </w:r>
      <w:r w:rsidR="00AA1FDF">
        <w:rPr>
          <w:szCs w:val="20"/>
        </w:rPr>
        <w:t>anche</w:t>
      </w:r>
      <w:r>
        <w:rPr>
          <w:szCs w:val="20"/>
        </w:rPr>
        <w:t xml:space="preserve"> formale – le conclusioni delle sue analisi, nonché le ragioni delle sue decisioni, sia con esperti del settore, sia con investitori caratterizzati da un</w:t>
      </w:r>
      <w:r w:rsidR="00CD52F1">
        <w:rPr>
          <w:szCs w:val="20"/>
        </w:rPr>
        <w:t>a conoscenza</w:t>
      </w:r>
      <w:r>
        <w:rPr>
          <w:szCs w:val="20"/>
        </w:rPr>
        <w:t xml:space="preserve"> finanziaria </w:t>
      </w:r>
      <w:r w:rsidR="00714D39">
        <w:rPr>
          <w:szCs w:val="20"/>
        </w:rPr>
        <w:t xml:space="preserve">relativamente </w:t>
      </w:r>
      <w:r>
        <w:rPr>
          <w:szCs w:val="20"/>
        </w:rPr>
        <w:t>modesta.</w:t>
      </w:r>
    </w:p>
    <w:p w14:paraId="6DCC9FBE" w14:textId="28982330" w:rsidR="008D7162" w:rsidRPr="00C80341" w:rsidRDefault="008D7162" w:rsidP="00122EAD">
      <w:pPr>
        <w:pStyle w:val="Paragrafoelenco"/>
        <w:numPr>
          <w:ilvl w:val="0"/>
          <w:numId w:val="1"/>
        </w:numPr>
        <w:tabs>
          <w:tab w:val="clear" w:pos="284"/>
        </w:tabs>
        <w:ind w:left="284" w:hanging="284"/>
        <w:rPr>
          <w:rFonts w:eastAsia="Calibri"/>
          <w:szCs w:val="20"/>
          <w:lang w:eastAsia="en-US"/>
        </w:rPr>
      </w:pPr>
      <w:r>
        <w:rPr>
          <w:szCs w:val="20"/>
        </w:rPr>
        <w:t>avrà sviluppato una capacità di interpretazione dei fenomeni economico-finanziari che gli permetterà di comprendere</w:t>
      </w:r>
      <w:r w:rsidR="00F37DC1">
        <w:rPr>
          <w:szCs w:val="20"/>
        </w:rPr>
        <w:t xml:space="preserve"> </w:t>
      </w:r>
      <w:r>
        <w:rPr>
          <w:szCs w:val="20"/>
        </w:rPr>
        <w:t>la complessità dei mercati e della mente umana</w:t>
      </w:r>
      <w:r w:rsidR="00A50AF4">
        <w:rPr>
          <w:szCs w:val="20"/>
        </w:rPr>
        <w:t xml:space="preserve"> e</w:t>
      </w:r>
      <w:r>
        <w:rPr>
          <w:szCs w:val="20"/>
        </w:rPr>
        <w:t xml:space="preserve">, in alcuni casi, di elaborare nuove teorie. </w:t>
      </w:r>
    </w:p>
    <w:p w14:paraId="5E192452" w14:textId="77777777" w:rsidR="008D7162" w:rsidRDefault="008D7162" w:rsidP="00825E27">
      <w:pPr>
        <w:spacing w:before="240" w:after="120"/>
        <w:rPr>
          <w:b/>
          <w:i/>
          <w:sz w:val="18"/>
        </w:rPr>
      </w:pPr>
      <w:r>
        <w:rPr>
          <w:b/>
          <w:i/>
          <w:sz w:val="18"/>
        </w:rPr>
        <w:t>PROGRAMMA DEL CORSO</w:t>
      </w:r>
    </w:p>
    <w:p w14:paraId="05935800" w14:textId="77777777" w:rsidR="008D7162" w:rsidRPr="00802230" w:rsidRDefault="008D7162" w:rsidP="008D7162">
      <w:pPr>
        <w:tabs>
          <w:tab w:val="clear" w:pos="284"/>
        </w:tabs>
        <w:spacing w:before="120"/>
        <w:ind w:left="284" w:hanging="284"/>
        <w:rPr>
          <w:rFonts w:eastAsia="Calibri"/>
          <w:szCs w:val="22"/>
          <w:lang w:eastAsia="en-US"/>
        </w:rPr>
      </w:pPr>
      <w:r w:rsidRPr="00802230">
        <w:rPr>
          <w:rFonts w:eastAsia="Calibri"/>
          <w:i/>
          <w:szCs w:val="22"/>
          <w:lang w:eastAsia="en-US"/>
        </w:rPr>
        <w:t>–</w:t>
      </w:r>
      <w:r>
        <w:rPr>
          <w:rFonts w:eastAsia="Calibri"/>
          <w:i/>
          <w:szCs w:val="22"/>
          <w:lang w:eastAsia="en-US"/>
        </w:rPr>
        <w:tab/>
      </w:r>
      <w:r w:rsidR="00026047">
        <w:rPr>
          <w:rFonts w:eastAsia="Calibri"/>
          <w:i/>
          <w:szCs w:val="22"/>
          <w:lang w:eastAsia="en-US"/>
        </w:rPr>
        <w:t>Teoria delle decisioni</w:t>
      </w:r>
      <w:r w:rsidR="00026047">
        <w:rPr>
          <w:rFonts w:eastAsia="Calibri"/>
          <w:szCs w:val="22"/>
          <w:lang w:eastAsia="en-US"/>
        </w:rPr>
        <w:t>. Teorie</w:t>
      </w:r>
      <w:r w:rsidRPr="00802230">
        <w:rPr>
          <w:rFonts w:eastAsia="Calibri"/>
          <w:szCs w:val="22"/>
          <w:lang w:eastAsia="en-US"/>
        </w:rPr>
        <w:t xml:space="preserve"> dell’utilità attesa</w:t>
      </w:r>
      <w:r w:rsidR="00026047">
        <w:rPr>
          <w:rFonts w:eastAsia="Calibri"/>
          <w:szCs w:val="22"/>
          <w:lang w:eastAsia="en-US"/>
        </w:rPr>
        <w:t xml:space="preserve"> e dell’utilità attesa soggettiva</w:t>
      </w:r>
      <w:r w:rsidRPr="00802230">
        <w:rPr>
          <w:rFonts w:eastAsia="Calibri"/>
          <w:szCs w:val="22"/>
          <w:lang w:eastAsia="en-US"/>
        </w:rPr>
        <w:t>.</w:t>
      </w:r>
    </w:p>
    <w:p w14:paraId="00A3B54C" w14:textId="203315D7" w:rsidR="008D7162" w:rsidRPr="00F31276" w:rsidRDefault="008D7162" w:rsidP="008D7162">
      <w:pPr>
        <w:tabs>
          <w:tab w:val="clear" w:pos="284"/>
        </w:tabs>
        <w:spacing w:before="120"/>
        <w:ind w:left="284" w:hanging="284"/>
        <w:rPr>
          <w:rFonts w:eastAsia="Calibri"/>
          <w:szCs w:val="22"/>
          <w:lang w:eastAsia="en-US"/>
        </w:rPr>
      </w:pPr>
      <w:r w:rsidRPr="00F31276">
        <w:rPr>
          <w:rFonts w:eastAsia="Calibri"/>
          <w:szCs w:val="22"/>
          <w:lang w:eastAsia="en-US"/>
        </w:rPr>
        <w:lastRenderedPageBreak/>
        <w:t>–</w:t>
      </w:r>
      <w:r w:rsidRPr="00F31276">
        <w:rPr>
          <w:rFonts w:eastAsia="Calibri"/>
          <w:szCs w:val="22"/>
          <w:lang w:eastAsia="en-US"/>
        </w:rPr>
        <w:tab/>
      </w:r>
      <w:r w:rsidRPr="00F31276">
        <w:rPr>
          <w:rFonts w:eastAsia="Calibri"/>
          <w:i/>
          <w:szCs w:val="22"/>
          <w:lang w:eastAsia="en-US"/>
        </w:rPr>
        <w:t xml:space="preserve">Incertezza e </w:t>
      </w:r>
      <w:r w:rsidR="00026047">
        <w:rPr>
          <w:rFonts w:eastAsia="Calibri"/>
          <w:i/>
          <w:szCs w:val="22"/>
          <w:lang w:eastAsia="en-US"/>
        </w:rPr>
        <w:t>informazione</w:t>
      </w:r>
      <w:r w:rsidRPr="00F31276">
        <w:rPr>
          <w:rFonts w:eastAsia="Calibri"/>
          <w:szCs w:val="22"/>
          <w:lang w:eastAsia="en-US"/>
        </w:rPr>
        <w:t>. Probabilità</w:t>
      </w:r>
      <w:r w:rsidR="00026047">
        <w:rPr>
          <w:rFonts w:eastAsia="Calibri"/>
          <w:szCs w:val="22"/>
          <w:lang w:eastAsia="en-US"/>
        </w:rPr>
        <w:t xml:space="preserve"> soggettiva</w:t>
      </w:r>
      <w:r w:rsidR="00207F98">
        <w:rPr>
          <w:rFonts w:eastAsia="Calibri"/>
          <w:szCs w:val="22"/>
          <w:lang w:eastAsia="en-US"/>
        </w:rPr>
        <w:t>. Strutture informative e aggiornamento delle credenze</w:t>
      </w:r>
      <w:r w:rsidR="00026047">
        <w:rPr>
          <w:rFonts w:eastAsia="Calibri"/>
          <w:szCs w:val="22"/>
          <w:lang w:eastAsia="en-US"/>
        </w:rPr>
        <w:t xml:space="preserve">. Valore </w:t>
      </w:r>
      <w:r w:rsidR="00900ED0">
        <w:rPr>
          <w:rFonts w:eastAsia="Calibri"/>
          <w:szCs w:val="22"/>
          <w:lang w:eastAsia="en-US"/>
        </w:rPr>
        <w:t>monetario di una struttura informativa</w:t>
      </w:r>
      <w:r w:rsidR="00026047">
        <w:rPr>
          <w:rFonts w:eastAsia="Calibri"/>
          <w:szCs w:val="22"/>
          <w:lang w:eastAsia="en-US"/>
        </w:rPr>
        <w:t xml:space="preserve">. </w:t>
      </w:r>
      <w:r w:rsidR="00285171">
        <w:rPr>
          <w:rFonts w:eastAsia="Calibri"/>
          <w:szCs w:val="22"/>
          <w:lang w:eastAsia="en-US"/>
        </w:rPr>
        <w:t>Mercati e informazione</w:t>
      </w:r>
      <w:r w:rsidR="00633D32">
        <w:rPr>
          <w:rFonts w:eastAsia="Calibri"/>
          <w:szCs w:val="22"/>
          <w:lang w:eastAsia="en-US"/>
        </w:rPr>
        <w:t>: analisi di un modello economico di comportamento imitativo</w:t>
      </w:r>
      <w:r w:rsidR="005F0914">
        <w:rPr>
          <w:rFonts w:eastAsia="Calibri"/>
          <w:szCs w:val="22"/>
          <w:lang w:eastAsia="en-US"/>
        </w:rPr>
        <w:t xml:space="preserve"> razionale</w:t>
      </w:r>
      <w:r w:rsidRPr="00F31276">
        <w:rPr>
          <w:rFonts w:eastAsia="Calibri"/>
          <w:szCs w:val="22"/>
          <w:lang w:eastAsia="en-US"/>
        </w:rPr>
        <w:t>.</w:t>
      </w:r>
    </w:p>
    <w:p w14:paraId="236EC80D" w14:textId="3EAC99EA" w:rsidR="00207F98" w:rsidRPr="00F31276" w:rsidRDefault="008D7162" w:rsidP="00207F98">
      <w:pPr>
        <w:tabs>
          <w:tab w:val="clear" w:pos="284"/>
        </w:tabs>
        <w:spacing w:before="120"/>
        <w:ind w:left="284" w:hanging="284"/>
        <w:rPr>
          <w:rFonts w:eastAsia="Calibri"/>
          <w:szCs w:val="22"/>
          <w:lang w:eastAsia="en-US"/>
        </w:rPr>
      </w:pPr>
      <w:r w:rsidRPr="00F31276">
        <w:rPr>
          <w:rFonts w:eastAsia="Calibri"/>
          <w:szCs w:val="22"/>
          <w:lang w:eastAsia="en-US"/>
        </w:rPr>
        <w:t>–</w:t>
      </w:r>
      <w:r w:rsidRPr="00F31276">
        <w:rPr>
          <w:rFonts w:eastAsia="Calibri"/>
          <w:szCs w:val="22"/>
          <w:lang w:eastAsia="en-US"/>
        </w:rPr>
        <w:tab/>
      </w:r>
      <w:r w:rsidRPr="00F31276">
        <w:rPr>
          <w:rFonts w:eastAsia="Calibri"/>
          <w:i/>
          <w:szCs w:val="22"/>
          <w:lang w:eastAsia="en-US"/>
        </w:rPr>
        <w:t>R</w:t>
      </w:r>
      <w:r w:rsidR="00285171">
        <w:rPr>
          <w:rFonts w:eastAsia="Calibri"/>
          <w:i/>
          <w:szCs w:val="22"/>
          <w:lang w:eastAsia="en-US"/>
        </w:rPr>
        <w:t>endimento e r</w:t>
      </w:r>
      <w:r w:rsidRPr="00F31276">
        <w:rPr>
          <w:rFonts w:eastAsia="Calibri"/>
          <w:i/>
          <w:szCs w:val="22"/>
          <w:lang w:eastAsia="en-US"/>
        </w:rPr>
        <w:t>ischio</w:t>
      </w:r>
      <w:r w:rsidRPr="00F31276">
        <w:rPr>
          <w:rFonts w:eastAsia="Calibri"/>
          <w:szCs w:val="22"/>
          <w:lang w:eastAsia="en-US"/>
        </w:rPr>
        <w:t>. Valore atteso</w:t>
      </w:r>
      <w:r w:rsidR="00285171">
        <w:rPr>
          <w:rFonts w:eastAsia="Calibri"/>
          <w:szCs w:val="22"/>
          <w:lang w:eastAsia="en-US"/>
        </w:rPr>
        <w:t>.</w:t>
      </w:r>
      <w:r w:rsidR="00714D39">
        <w:rPr>
          <w:rFonts w:eastAsia="Calibri"/>
          <w:szCs w:val="22"/>
          <w:lang w:eastAsia="en-US"/>
        </w:rPr>
        <w:t xml:space="preserve"> Legge e fallacia dei grandi numeri.</w:t>
      </w:r>
      <w:r w:rsidR="00285171">
        <w:rPr>
          <w:rFonts w:eastAsia="Calibri"/>
          <w:szCs w:val="22"/>
          <w:lang w:eastAsia="en-US"/>
        </w:rPr>
        <w:t xml:space="preserve"> </w:t>
      </w:r>
      <w:r w:rsidR="00207F98">
        <w:rPr>
          <w:rFonts w:eastAsia="Calibri"/>
          <w:szCs w:val="22"/>
          <w:lang w:eastAsia="en-US"/>
        </w:rPr>
        <w:t xml:space="preserve">Dominanza stocastica del primo ordine. </w:t>
      </w:r>
      <w:r w:rsidR="00285171">
        <w:rPr>
          <w:rFonts w:eastAsia="Calibri"/>
          <w:szCs w:val="22"/>
          <w:lang w:eastAsia="en-US"/>
        </w:rPr>
        <w:t>Attitudine nei confronti del rischio.</w:t>
      </w:r>
      <w:r w:rsidR="002F3784">
        <w:rPr>
          <w:rFonts w:eastAsia="Calibri"/>
          <w:szCs w:val="22"/>
          <w:lang w:eastAsia="en-US"/>
        </w:rPr>
        <w:t xml:space="preserve"> Equivalente di certezza, premio per il rischio, premio di probabilità.</w:t>
      </w:r>
      <w:r w:rsidR="00285171">
        <w:rPr>
          <w:rFonts w:eastAsia="Calibri"/>
          <w:szCs w:val="22"/>
          <w:lang w:eastAsia="en-US"/>
        </w:rPr>
        <w:t xml:space="preserve"> </w:t>
      </w:r>
      <w:r w:rsidRPr="00F31276">
        <w:rPr>
          <w:rFonts w:eastAsia="Calibri"/>
          <w:szCs w:val="22"/>
          <w:lang w:eastAsia="en-US"/>
        </w:rPr>
        <w:t xml:space="preserve">Avversione assoluta e relativa al rischio. </w:t>
      </w:r>
      <w:r w:rsidR="005F0914">
        <w:rPr>
          <w:rFonts w:eastAsia="Calibri"/>
          <w:szCs w:val="22"/>
          <w:lang w:eastAsia="en-US"/>
        </w:rPr>
        <w:t xml:space="preserve">Risultati teorici </w:t>
      </w:r>
      <w:r w:rsidR="005F0914">
        <w:rPr>
          <w:rFonts w:eastAsia="Calibri"/>
          <w:i/>
          <w:szCs w:val="22"/>
          <w:lang w:eastAsia="en-US"/>
        </w:rPr>
        <w:t>in the small</w:t>
      </w:r>
      <w:r w:rsidR="005F0914">
        <w:rPr>
          <w:rFonts w:eastAsia="Calibri"/>
          <w:szCs w:val="22"/>
          <w:lang w:eastAsia="en-US"/>
        </w:rPr>
        <w:t xml:space="preserve"> e </w:t>
      </w:r>
      <w:r w:rsidR="005F0914">
        <w:rPr>
          <w:rFonts w:eastAsia="Calibri"/>
          <w:i/>
          <w:szCs w:val="22"/>
          <w:lang w:eastAsia="en-US"/>
        </w:rPr>
        <w:t>in the large</w:t>
      </w:r>
      <w:r w:rsidR="005F0914">
        <w:rPr>
          <w:rFonts w:eastAsia="Calibri"/>
          <w:szCs w:val="22"/>
          <w:lang w:eastAsia="en-US"/>
        </w:rPr>
        <w:t xml:space="preserve">. </w:t>
      </w:r>
      <w:r w:rsidRPr="00F31276">
        <w:rPr>
          <w:rFonts w:eastAsia="Calibri"/>
          <w:szCs w:val="22"/>
          <w:lang w:eastAsia="en-US"/>
        </w:rPr>
        <w:t xml:space="preserve">Prudenza </w:t>
      </w:r>
      <w:r w:rsidR="00285171">
        <w:rPr>
          <w:rFonts w:eastAsia="Calibri"/>
          <w:szCs w:val="22"/>
          <w:lang w:eastAsia="en-US"/>
        </w:rPr>
        <w:t>e temperanza</w:t>
      </w:r>
      <w:r w:rsidRPr="00F31276">
        <w:rPr>
          <w:rFonts w:eastAsia="Calibri"/>
          <w:szCs w:val="22"/>
          <w:lang w:eastAsia="en-US"/>
        </w:rPr>
        <w:t xml:space="preserve">. </w:t>
      </w:r>
      <w:r w:rsidR="00285171">
        <w:rPr>
          <w:rFonts w:eastAsia="Calibri"/>
          <w:szCs w:val="22"/>
          <w:lang w:eastAsia="en-US"/>
        </w:rPr>
        <w:t>Funzioni di utilità più utilizzate in economia</w:t>
      </w:r>
      <w:r w:rsidR="00714D39">
        <w:rPr>
          <w:rFonts w:eastAsia="Calibri"/>
          <w:szCs w:val="22"/>
          <w:lang w:eastAsia="en-US"/>
        </w:rPr>
        <w:t xml:space="preserve">. </w:t>
      </w:r>
      <w:r w:rsidR="00285171">
        <w:rPr>
          <w:rFonts w:eastAsia="Calibri"/>
          <w:szCs w:val="22"/>
          <w:lang w:eastAsia="en-US"/>
        </w:rPr>
        <w:t xml:space="preserve">Dominanza stocastica </w:t>
      </w:r>
      <w:r w:rsidR="00714D39">
        <w:rPr>
          <w:rFonts w:eastAsia="Calibri"/>
          <w:szCs w:val="22"/>
          <w:lang w:eastAsia="en-US"/>
        </w:rPr>
        <w:t xml:space="preserve">e dominanza stocastica monotona </w:t>
      </w:r>
      <w:r w:rsidR="00285171">
        <w:rPr>
          <w:rFonts w:eastAsia="Calibri"/>
          <w:szCs w:val="22"/>
          <w:lang w:eastAsia="en-US"/>
        </w:rPr>
        <w:t>del secondo ordine</w:t>
      </w:r>
      <w:r w:rsidR="00325E63">
        <w:rPr>
          <w:rFonts w:eastAsia="Calibri"/>
          <w:szCs w:val="22"/>
          <w:lang w:eastAsia="en-US"/>
        </w:rPr>
        <w:t>.</w:t>
      </w:r>
      <w:r w:rsidR="00285171">
        <w:rPr>
          <w:rFonts w:eastAsia="Calibri"/>
          <w:szCs w:val="22"/>
          <w:lang w:eastAsia="en-US"/>
        </w:rPr>
        <w:t xml:space="preserve"> </w:t>
      </w:r>
      <w:r w:rsidR="00207F98">
        <w:rPr>
          <w:rFonts w:eastAsia="Calibri"/>
          <w:szCs w:val="22"/>
          <w:lang w:eastAsia="en-US"/>
        </w:rPr>
        <w:t>Applicazioni economiche</w:t>
      </w:r>
      <w:r w:rsidR="0060624B">
        <w:rPr>
          <w:rFonts w:eastAsia="Calibri"/>
          <w:szCs w:val="22"/>
          <w:lang w:eastAsia="en-US"/>
        </w:rPr>
        <w:t xml:space="preserve">: assicurazione e </w:t>
      </w:r>
      <w:r w:rsidR="00C470A6">
        <w:rPr>
          <w:rFonts w:eastAsia="Calibri"/>
          <w:szCs w:val="22"/>
          <w:lang w:eastAsia="en-US"/>
        </w:rPr>
        <w:t>diversificazione</w:t>
      </w:r>
      <w:r w:rsidR="00714D39">
        <w:rPr>
          <w:rFonts w:eastAsia="Calibri"/>
          <w:szCs w:val="22"/>
          <w:lang w:eastAsia="en-US"/>
        </w:rPr>
        <w:t xml:space="preserve"> del</w:t>
      </w:r>
      <w:r w:rsidR="00C470A6">
        <w:rPr>
          <w:rFonts w:eastAsia="Calibri"/>
          <w:szCs w:val="22"/>
          <w:lang w:eastAsia="en-US"/>
        </w:rPr>
        <w:t xml:space="preserve"> </w:t>
      </w:r>
      <w:r w:rsidR="0060624B">
        <w:rPr>
          <w:rFonts w:eastAsia="Calibri"/>
          <w:szCs w:val="22"/>
          <w:lang w:eastAsia="en-US"/>
        </w:rPr>
        <w:t>portafoglio</w:t>
      </w:r>
      <w:r w:rsidR="00207F98">
        <w:rPr>
          <w:rFonts w:eastAsia="Calibri"/>
          <w:szCs w:val="22"/>
          <w:lang w:eastAsia="en-US"/>
        </w:rPr>
        <w:t>.</w:t>
      </w:r>
      <w:r w:rsidR="00207F98" w:rsidRPr="00207F98">
        <w:rPr>
          <w:rFonts w:eastAsia="Calibri"/>
          <w:szCs w:val="22"/>
          <w:lang w:eastAsia="en-US"/>
        </w:rPr>
        <w:t xml:space="preserve"> </w:t>
      </w:r>
    </w:p>
    <w:p w14:paraId="6BFD7157" w14:textId="62D99725" w:rsidR="008D7162" w:rsidRPr="00207F98" w:rsidRDefault="00207F98" w:rsidP="00C470A6">
      <w:pPr>
        <w:tabs>
          <w:tab w:val="clear" w:pos="284"/>
        </w:tabs>
        <w:spacing w:before="120"/>
        <w:ind w:left="284" w:hanging="284"/>
        <w:rPr>
          <w:rFonts w:eastAsia="Calibri"/>
          <w:szCs w:val="22"/>
          <w:lang w:eastAsia="en-US"/>
        </w:rPr>
      </w:pPr>
      <w:r w:rsidRPr="00F31276">
        <w:rPr>
          <w:rFonts w:eastAsia="Calibri"/>
          <w:szCs w:val="22"/>
          <w:lang w:eastAsia="en-US"/>
        </w:rPr>
        <w:t>–</w:t>
      </w:r>
      <w:r w:rsidRPr="00F31276">
        <w:rPr>
          <w:rFonts w:eastAsia="Calibri"/>
          <w:szCs w:val="22"/>
          <w:lang w:eastAsia="en-US"/>
        </w:rPr>
        <w:tab/>
      </w:r>
      <w:r>
        <w:rPr>
          <w:rFonts w:eastAsia="Calibri"/>
          <w:i/>
          <w:szCs w:val="22"/>
          <w:lang w:eastAsia="en-US"/>
        </w:rPr>
        <w:t>Approccio media-varianza (cenni)</w:t>
      </w:r>
      <w:r w:rsidRPr="00F31276">
        <w:rPr>
          <w:rFonts w:eastAsia="Calibri"/>
          <w:szCs w:val="22"/>
          <w:lang w:eastAsia="en-US"/>
        </w:rPr>
        <w:t>.</w:t>
      </w:r>
      <w:r>
        <w:rPr>
          <w:rFonts w:eastAsia="Calibri"/>
          <w:szCs w:val="22"/>
          <w:lang w:eastAsia="en-US"/>
        </w:rPr>
        <w:t xml:space="preserve"> </w:t>
      </w:r>
      <w:r w:rsidR="00C470A6">
        <w:rPr>
          <w:rFonts w:eastAsia="Calibri"/>
          <w:szCs w:val="22"/>
          <w:lang w:eastAsia="en-US"/>
        </w:rPr>
        <w:t>A</w:t>
      </w:r>
      <w:r w:rsidR="00C470A6" w:rsidRPr="00207F98">
        <w:rPr>
          <w:rFonts w:eastAsia="Calibri"/>
          <w:szCs w:val="22"/>
          <w:lang w:eastAsia="en-US"/>
        </w:rPr>
        <w:t>pproccio media-varianza</w:t>
      </w:r>
      <w:r w:rsidR="00C470A6">
        <w:rPr>
          <w:rFonts w:eastAsia="Calibri"/>
          <w:szCs w:val="22"/>
          <w:lang w:eastAsia="en-US"/>
        </w:rPr>
        <w:t xml:space="preserve"> </w:t>
      </w:r>
      <w:r w:rsidR="00C470A6">
        <w:rPr>
          <w:rFonts w:eastAsia="Calibri"/>
          <w:i/>
          <w:szCs w:val="22"/>
          <w:lang w:eastAsia="en-US"/>
        </w:rPr>
        <w:t>vs</w:t>
      </w:r>
      <w:r w:rsidR="00C470A6">
        <w:rPr>
          <w:rFonts w:eastAsia="Calibri"/>
          <w:szCs w:val="22"/>
          <w:lang w:eastAsia="en-US"/>
        </w:rPr>
        <w:t xml:space="preserve"> utilità attesa: critiche e possibili giustificazioni</w:t>
      </w:r>
      <w:r w:rsidR="00C470A6" w:rsidRPr="00207F98">
        <w:rPr>
          <w:rFonts w:eastAsia="Calibri"/>
          <w:szCs w:val="22"/>
          <w:lang w:eastAsia="en-US"/>
        </w:rPr>
        <w:t>.</w:t>
      </w:r>
      <w:r w:rsidR="00C470A6">
        <w:rPr>
          <w:rFonts w:eastAsia="Calibri"/>
          <w:szCs w:val="22"/>
          <w:lang w:eastAsia="en-US"/>
        </w:rPr>
        <w:t xml:space="preserve"> </w:t>
      </w:r>
    </w:p>
    <w:p w14:paraId="74F1FB0B" w14:textId="7C70005A" w:rsidR="008D7162" w:rsidRPr="00F31276" w:rsidRDefault="008D7162" w:rsidP="00325E63">
      <w:pPr>
        <w:tabs>
          <w:tab w:val="clear" w:pos="284"/>
        </w:tabs>
        <w:spacing w:before="120"/>
        <w:ind w:left="284" w:hanging="284"/>
        <w:rPr>
          <w:rFonts w:eastAsia="Calibri"/>
          <w:szCs w:val="20"/>
          <w:lang w:eastAsia="en-US"/>
        </w:rPr>
      </w:pPr>
      <w:r w:rsidRPr="00F31276">
        <w:rPr>
          <w:rFonts w:eastAsia="Calibri"/>
          <w:szCs w:val="22"/>
          <w:lang w:eastAsia="en-US"/>
        </w:rPr>
        <w:t>–</w:t>
      </w:r>
      <w:r w:rsidRPr="00F31276">
        <w:rPr>
          <w:rFonts w:eastAsia="Calibri"/>
          <w:szCs w:val="22"/>
          <w:lang w:eastAsia="en-US"/>
        </w:rPr>
        <w:tab/>
      </w:r>
      <w:r w:rsidRPr="00F31276">
        <w:rPr>
          <w:rFonts w:eastAsia="Calibri"/>
          <w:i/>
          <w:szCs w:val="22"/>
          <w:lang w:eastAsia="en-US"/>
        </w:rPr>
        <w:t>Scelte di investimento, di assicurazione e di risparmio</w:t>
      </w:r>
      <w:r w:rsidRPr="00F31276">
        <w:rPr>
          <w:rFonts w:eastAsia="Calibri"/>
          <w:szCs w:val="22"/>
          <w:lang w:eastAsia="en-US"/>
        </w:rPr>
        <w:t>. Scelta ottima di portafoglio</w:t>
      </w:r>
      <w:r w:rsidR="002F3784">
        <w:rPr>
          <w:rFonts w:eastAsia="Calibri"/>
          <w:szCs w:val="22"/>
          <w:lang w:eastAsia="en-US"/>
        </w:rPr>
        <w:t xml:space="preserve">. </w:t>
      </w:r>
      <w:r w:rsidR="00E03450">
        <w:rPr>
          <w:rFonts w:eastAsia="Calibri"/>
          <w:szCs w:val="22"/>
          <w:lang w:eastAsia="en-US"/>
        </w:rPr>
        <w:t>S</w:t>
      </w:r>
      <w:r w:rsidR="005F0914">
        <w:rPr>
          <w:rFonts w:eastAsia="Calibri"/>
          <w:szCs w:val="22"/>
          <w:lang w:eastAsia="en-US"/>
        </w:rPr>
        <w:t>tatica comparata</w:t>
      </w:r>
      <w:r w:rsidR="00714D39">
        <w:rPr>
          <w:rFonts w:eastAsia="Calibri"/>
          <w:szCs w:val="22"/>
          <w:lang w:eastAsia="en-US"/>
        </w:rPr>
        <w:t xml:space="preserve"> </w:t>
      </w:r>
      <w:r w:rsidR="00714D39">
        <w:rPr>
          <w:rFonts w:eastAsia="Calibri"/>
          <w:i/>
          <w:szCs w:val="22"/>
          <w:lang w:eastAsia="en-US"/>
        </w:rPr>
        <w:t>in the small</w:t>
      </w:r>
      <w:r w:rsidR="00714D39">
        <w:rPr>
          <w:rFonts w:eastAsia="Calibri"/>
          <w:szCs w:val="22"/>
          <w:lang w:eastAsia="en-US"/>
        </w:rPr>
        <w:t xml:space="preserve"> e </w:t>
      </w:r>
      <w:r w:rsidR="00714D39">
        <w:rPr>
          <w:rFonts w:eastAsia="Calibri"/>
          <w:i/>
          <w:szCs w:val="22"/>
          <w:lang w:eastAsia="en-US"/>
        </w:rPr>
        <w:t>in the large</w:t>
      </w:r>
      <w:r w:rsidR="00714D39">
        <w:rPr>
          <w:rFonts w:eastAsia="Calibri"/>
          <w:szCs w:val="22"/>
          <w:lang w:eastAsia="en-US"/>
        </w:rPr>
        <w:t>.</w:t>
      </w:r>
      <w:r w:rsidR="00325E63">
        <w:rPr>
          <w:rFonts w:eastAsia="Calibri"/>
          <w:szCs w:val="22"/>
          <w:lang w:eastAsia="en-US"/>
        </w:rPr>
        <w:t xml:space="preserve"> Utilità attesa e diversificazione. Scelta ottima di assicurazione.</w:t>
      </w:r>
      <w:r w:rsidRPr="00F31276">
        <w:rPr>
          <w:rFonts w:eastAsia="Calibri"/>
          <w:szCs w:val="22"/>
          <w:lang w:eastAsia="en-US"/>
        </w:rPr>
        <w:t xml:space="preserve"> </w:t>
      </w:r>
      <w:r w:rsidR="00C470A6">
        <w:rPr>
          <w:rFonts w:eastAsia="Calibri"/>
          <w:szCs w:val="22"/>
          <w:lang w:eastAsia="en-US"/>
        </w:rPr>
        <w:t>S</w:t>
      </w:r>
      <w:r w:rsidR="0060624B">
        <w:rPr>
          <w:rFonts w:eastAsia="Calibri"/>
          <w:szCs w:val="22"/>
          <w:lang w:eastAsia="en-US"/>
        </w:rPr>
        <w:t xml:space="preserve">celta ottima di </w:t>
      </w:r>
      <w:r w:rsidRPr="00F31276">
        <w:rPr>
          <w:rFonts w:eastAsia="Calibri"/>
          <w:szCs w:val="22"/>
          <w:lang w:eastAsia="en-US"/>
        </w:rPr>
        <w:t>risparmio</w:t>
      </w:r>
      <w:r w:rsidR="00C470A6">
        <w:rPr>
          <w:rFonts w:eastAsia="Calibri"/>
          <w:szCs w:val="22"/>
          <w:lang w:eastAsia="en-US"/>
        </w:rPr>
        <w:t xml:space="preserve"> in </w:t>
      </w:r>
      <w:r w:rsidR="0041140B">
        <w:rPr>
          <w:rFonts w:eastAsia="Calibri"/>
          <w:szCs w:val="22"/>
          <w:lang w:eastAsia="en-US"/>
        </w:rPr>
        <w:t xml:space="preserve">assenza e in </w:t>
      </w:r>
      <w:r w:rsidR="00C470A6">
        <w:rPr>
          <w:rFonts w:eastAsia="Calibri"/>
          <w:szCs w:val="22"/>
          <w:lang w:eastAsia="en-US"/>
        </w:rPr>
        <w:t>presenza di rischio</w:t>
      </w:r>
      <w:r w:rsidR="00325E63">
        <w:rPr>
          <w:rFonts w:eastAsia="Calibri"/>
          <w:szCs w:val="22"/>
          <w:lang w:eastAsia="en-US"/>
        </w:rPr>
        <w:t>.</w:t>
      </w:r>
    </w:p>
    <w:p w14:paraId="0238D4E7" w14:textId="17F6680C" w:rsidR="00634F5D" w:rsidRDefault="008D7162" w:rsidP="008D7162">
      <w:pPr>
        <w:tabs>
          <w:tab w:val="clear" w:pos="284"/>
        </w:tabs>
        <w:spacing w:before="120"/>
        <w:ind w:left="284" w:hanging="284"/>
        <w:rPr>
          <w:rFonts w:eastAsia="Calibri"/>
          <w:szCs w:val="22"/>
          <w:lang w:eastAsia="en-US"/>
        </w:rPr>
      </w:pPr>
      <w:r w:rsidRPr="00F31276">
        <w:rPr>
          <w:rFonts w:eastAsia="Calibri"/>
          <w:szCs w:val="22"/>
          <w:lang w:eastAsia="en-US"/>
        </w:rPr>
        <w:t>–</w:t>
      </w:r>
      <w:r w:rsidRPr="00F31276">
        <w:rPr>
          <w:rFonts w:eastAsia="Calibri"/>
          <w:szCs w:val="22"/>
          <w:lang w:eastAsia="en-US"/>
        </w:rPr>
        <w:tab/>
      </w:r>
      <w:r w:rsidRPr="00F31276">
        <w:rPr>
          <w:rFonts w:eastAsia="Calibri"/>
          <w:i/>
          <w:szCs w:val="22"/>
          <w:lang w:eastAsia="en-US"/>
        </w:rPr>
        <w:t>Equilibrio concorrenziale e prezzi dei titoli</w:t>
      </w:r>
      <w:r w:rsidRPr="00F31276">
        <w:rPr>
          <w:rFonts w:eastAsia="Calibri"/>
          <w:szCs w:val="22"/>
          <w:lang w:eastAsia="en-US"/>
        </w:rPr>
        <w:t xml:space="preserve">. </w:t>
      </w:r>
      <w:r w:rsidR="00FA0061">
        <w:rPr>
          <w:szCs w:val="20"/>
        </w:rPr>
        <w:t>Mercati a pronti</w:t>
      </w:r>
      <w:r w:rsidR="00C470A6">
        <w:rPr>
          <w:szCs w:val="20"/>
        </w:rPr>
        <w:t xml:space="preserve"> dei beni</w:t>
      </w:r>
      <w:r w:rsidR="00FA0061">
        <w:rPr>
          <w:szCs w:val="20"/>
        </w:rPr>
        <w:t xml:space="preserve"> e scatola di Edgeworth:</w:t>
      </w:r>
      <w:r w:rsidR="00FA0061" w:rsidRPr="00FA0061">
        <w:rPr>
          <w:szCs w:val="20"/>
        </w:rPr>
        <w:t xml:space="preserve"> efficienza </w:t>
      </w:r>
      <w:r w:rsidR="00FA0061" w:rsidRPr="00FA0061">
        <w:rPr>
          <w:i/>
          <w:szCs w:val="20"/>
        </w:rPr>
        <w:t>ex post</w:t>
      </w:r>
      <w:r w:rsidR="00FA0061" w:rsidRPr="00FA0061">
        <w:rPr>
          <w:szCs w:val="20"/>
        </w:rPr>
        <w:t xml:space="preserve"> ma non </w:t>
      </w:r>
      <w:r w:rsidR="00FA0061" w:rsidRPr="00FA0061">
        <w:rPr>
          <w:i/>
          <w:szCs w:val="20"/>
        </w:rPr>
        <w:t>ex ante</w:t>
      </w:r>
      <w:r w:rsidR="00FA0061" w:rsidRPr="00FA0061">
        <w:rPr>
          <w:szCs w:val="20"/>
        </w:rPr>
        <w:t>. Mercato dei beni contingenti agli stati del mondo</w:t>
      </w:r>
      <w:r w:rsidR="00FA0061">
        <w:rPr>
          <w:szCs w:val="20"/>
        </w:rPr>
        <w:t>:</w:t>
      </w:r>
      <w:r w:rsidR="00FA0061" w:rsidRPr="00FA0061">
        <w:rPr>
          <w:szCs w:val="20"/>
        </w:rPr>
        <w:t xml:space="preserve"> efficienza </w:t>
      </w:r>
      <w:r w:rsidR="00FA0061" w:rsidRPr="00FA0061">
        <w:rPr>
          <w:i/>
          <w:szCs w:val="20"/>
        </w:rPr>
        <w:t>ex ante</w:t>
      </w:r>
      <w:r w:rsidR="00FA0061" w:rsidRPr="00FA0061">
        <w:rPr>
          <w:szCs w:val="20"/>
        </w:rPr>
        <w:t xml:space="preserve"> ed </w:t>
      </w:r>
      <w:r w:rsidR="00FA0061" w:rsidRPr="00FA0061">
        <w:rPr>
          <w:i/>
          <w:szCs w:val="20"/>
        </w:rPr>
        <w:t>ex post</w:t>
      </w:r>
      <w:r w:rsidR="00FA0061" w:rsidRPr="00FA0061">
        <w:rPr>
          <w:szCs w:val="20"/>
        </w:rPr>
        <w:t xml:space="preserve">. Equilibrio concorrenziale con </w:t>
      </w:r>
      <w:r w:rsidR="00C470A6">
        <w:rPr>
          <w:szCs w:val="20"/>
        </w:rPr>
        <w:t xml:space="preserve">una successione di </w:t>
      </w:r>
      <w:r w:rsidR="00FA0061" w:rsidRPr="00FA0061">
        <w:rPr>
          <w:szCs w:val="20"/>
        </w:rPr>
        <w:t xml:space="preserve">mercati: </w:t>
      </w:r>
      <w:r w:rsidR="00714D39">
        <w:rPr>
          <w:szCs w:val="20"/>
        </w:rPr>
        <w:t xml:space="preserve">mercato finanziario dei </w:t>
      </w:r>
      <w:r w:rsidR="00FA0061" w:rsidRPr="00FA0061">
        <w:rPr>
          <w:szCs w:val="20"/>
        </w:rPr>
        <w:t xml:space="preserve">titoli di Arrow </w:t>
      </w:r>
      <w:r w:rsidR="00714D39">
        <w:rPr>
          <w:szCs w:val="20"/>
        </w:rPr>
        <w:t>seguito da un mercato dei</w:t>
      </w:r>
      <w:r w:rsidR="00FA0061" w:rsidRPr="00FA0061">
        <w:rPr>
          <w:szCs w:val="20"/>
        </w:rPr>
        <w:t xml:space="preserve"> beni a pronti. </w:t>
      </w:r>
      <w:r w:rsidR="00E25228">
        <w:rPr>
          <w:szCs w:val="20"/>
        </w:rPr>
        <w:t xml:space="preserve">Ripartizione efficiente del rischio. </w:t>
      </w:r>
      <w:r w:rsidR="00FA0061" w:rsidRPr="00FA0061">
        <w:rPr>
          <w:szCs w:val="20"/>
        </w:rPr>
        <w:t xml:space="preserve">Rischio di mercato e rischio idiosincratico. Mercato completo con titoli complessi. </w:t>
      </w:r>
      <w:r w:rsidR="00E13363">
        <w:rPr>
          <w:szCs w:val="20"/>
        </w:rPr>
        <w:t>Additività del valore / l</w:t>
      </w:r>
      <w:r w:rsidR="00FA0061" w:rsidRPr="00FA0061">
        <w:rPr>
          <w:szCs w:val="20"/>
        </w:rPr>
        <w:t>egge del prezzo unico. Equilibro concorrenziale e assenza di opportunità di arbitraggio. Scelta intertemporale</w:t>
      </w:r>
      <w:r w:rsidR="00900ED0">
        <w:rPr>
          <w:szCs w:val="20"/>
        </w:rPr>
        <w:t xml:space="preserve"> e tasso di interesse di equilibrio</w:t>
      </w:r>
      <w:r w:rsidR="00FA0061" w:rsidRPr="00FA0061">
        <w:rPr>
          <w:szCs w:val="20"/>
        </w:rPr>
        <w:t>. Prezzi dei titoli e fattore di sconto stocastico. Probabilità neutrali al rischio. Tasso di rendimento atteso e covarianza con il fattore di sconto stocastico. Mercati incompleti</w:t>
      </w:r>
      <w:r w:rsidR="004F028F">
        <w:rPr>
          <w:szCs w:val="20"/>
        </w:rPr>
        <w:t xml:space="preserve"> e</w:t>
      </w:r>
      <w:r w:rsidR="00FA0061" w:rsidRPr="00FA0061">
        <w:rPr>
          <w:szCs w:val="20"/>
        </w:rPr>
        <w:t xml:space="preserve"> ripartizione inefficiente</w:t>
      </w:r>
      <w:r w:rsidR="004F028F">
        <w:rPr>
          <w:szCs w:val="20"/>
        </w:rPr>
        <w:t xml:space="preserve"> del rischio</w:t>
      </w:r>
      <w:r w:rsidR="00FA0061" w:rsidRPr="00FA0061">
        <w:rPr>
          <w:szCs w:val="20"/>
        </w:rPr>
        <w:t>.  Un modello di intermediazione finanziaria</w:t>
      </w:r>
      <w:r w:rsidR="00C470A6">
        <w:rPr>
          <w:szCs w:val="20"/>
        </w:rPr>
        <w:t>: ruolo delle banche nella ripartizione del rischio e vulnerabilità alle «corse agli sportelli»</w:t>
      </w:r>
      <w:r w:rsidR="00FA0061" w:rsidRPr="00FA0061">
        <w:rPr>
          <w:szCs w:val="20"/>
        </w:rPr>
        <w:t>.</w:t>
      </w:r>
      <w:r w:rsidR="00633D32">
        <w:rPr>
          <w:rFonts w:eastAsia="Calibri"/>
          <w:szCs w:val="22"/>
          <w:lang w:eastAsia="en-US"/>
        </w:rPr>
        <w:t xml:space="preserve"> </w:t>
      </w:r>
    </w:p>
    <w:p w14:paraId="3A93FB6C" w14:textId="4A10FD7D" w:rsidR="00FA0061" w:rsidRPr="00825E27" w:rsidRDefault="008D7162" w:rsidP="00825E27">
      <w:pPr>
        <w:tabs>
          <w:tab w:val="clear" w:pos="284"/>
        </w:tabs>
        <w:spacing w:before="120"/>
        <w:ind w:left="284" w:hanging="284"/>
        <w:rPr>
          <w:rFonts w:eastAsia="Calibri"/>
          <w:szCs w:val="22"/>
          <w:lang w:eastAsia="en-US"/>
        </w:rPr>
      </w:pPr>
      <w:r w:rsidRPr="00F31276">
        <w:rPr>
          <w:rFonts w:eastAsia="Calibri"/>
          <w:szCs w:val="22"/>
          <w:lang w:eastAsia="en-US"/>
        </w:rPr>
        <w:t>–</w:t>
      </w:r>
      <w:r w:rsidRPr="00F31276">
        <w:rPr>
          <w:rFonts w:eastAsia="Calibri"/>
          <w:szCs w:val="22"/>
          <w:lang w:eastAsia="en-US"/>
        </w:rPr>
        <w:tab/>
      </w:r>
      <w:r w:rsidR="004F028F">
        <w:rPr>
          <w:rFonts w:eastAsia="Calibri"/>
          <w:i/>
          <w:szCs w:val="22"/>
          <w:lang w:eastAsia="en-US"/>
        </w:rPr>
        <w:t>Economia e f</w:t>
      </w:r>
      <w:r w:rsidRPr="00F31276">
        <w:rPr>
          <w:rFonts w:eastAsia="Calibri"/>
          <w:i/>
          <w:szCs w:val="22"/>
          <w:lang w:eastAsia="en-US"/>
        </w:rPr>
        <w:t>inanza comportamentale</w:t>
      </w:r>
      <w:r w:rsidRPr="00F31276">
        <w:rPr>
          <w:rFonts w:eastAsia="Calibri"/>
          <w:szCs w:val="22"/>
          <w:lang w:eastAsia="en-US"/>
        </w:rPr>
        <w:t xml:space="preserve">. </w:t>
      </w:r>
      <w:r w:rsidRPr="00F31276">
        <w:rPr>
          <w:rFonts w:eastAsia="Calibri"/>
          <w:szCs w:val="20"/>
          <w:lang w:eastAsia="en-US"/>
        </w:rPr>
        <w:t>Comportamenti finanziari «anomali».</w:t>
      </w:r>
      <w:r w:rsidRPr="00633D32">
        <w:rPr>
          <w:rFonts w:eastAsia="Calibri"/>
          <w:szCs w:val="20"/>
          <w:lang w:eastAsia="en-US"/>
        </w:rPr>
        <w:t xml:space="preserve"> </w:t>
      </w:r>
      <w:r w:rsidR="00633D32" w:rsidRPr="00633D32">
        <w:rPr>
          <w:rFonts w:eastAsia="Calibri"/>
          <w:szCs w:val="20"/>
          <w:lang w:eastAsia="en-US"/>
        </w:rPr>
        <w:t xml:space="preserve">Economia comportamentale. </w:t>
      </w:r>
      <w:r w:rsidRPr="00F31276">
        <w:rPr>
          <w:rFonts w:eastAsia="Calibri"/>
          <w:szCs w:val="22"/>
          <w:lang w:eastAsia="en-US"/>
        </w:rPr>
        <w:t>Fattori psicologici che influenzano il comportamento degli investitori nei mercati finanziari</w:t>
      </w:r>
      <w:r w:rsidR="004B7761">
        <w:rPr>
          <w:rFonts w:eastAsia="Calibri"/>
          <w:szCs w:val="22"/>
          <w:lang w:eastAsia="en-US"/>
        </w:rPr>
        <w:t xml:space="preserve"> e che possono spiegare </w:t>
      </w:r>
      <w:r w:rsidR="00F42F65">
        <w:rPr>
          <w:rFonts w:eastAsia="Calibri"/>
          <w:szCs w:val="22"/>
          <w:lang w:eastAsia="en-US"/>
        </w:rPr>
        <w:t>alcune «anomalie» in ambito finanziario</w:t>
      </w:r>
      <w:r w:rsidR="00633D32">
        <w:rPr>
          <w:rFonts w:eastAsia="Calibri"/>
          <w:szCs w:val="22"/>
          <w:lang w:eastAsia="en-US"/>
        </w:rPr>
        <w:t>.</w:t>
      </w:r>
    </w:p>
    <w:p w14:paraId="1E8FD284" w14:textId="71E92FB2" w:rsidR="00825E27" w:rsidRPr="00825E27" w:rsidRDefault="008D7162" w:rsidP="00825E27">
      <w:pPr>
        <w:spacing w:before="240" w:after="120"/>
        <w:rPr>
          <w:b/>
          <w:i/>
          <w:sz w:val="18"/>
        </w:rPr>
      </w:pPr>
      <w:r w:rsidRPr="00207F98">
        <w:rPr>
          <w:b/>
          <w:i/>
          <w:sz w:val="18"/>
        </w:rPr>
        <w:t>BIBLIOGRAFIA</w:t>
      </w:r>
      <w:r w:rsidR="00386728">
        <w:rPr>
          <w:rStyle w:val="Rimandonotaapidipagina"/>
          <w:b/>
          <w:i/>
          <w:sz w:val="18"/>
        </w:rPr>
        <w:footnoteReference w:id="1"/>
      </w:r>
    </w:p>
    <w:p w14:paraId="429D4D5C" w14:textId="6F28EC99" w:rsidR="00B8779E" w:rsidRPr="00B04AE3" w:rsidRDefault="00634F5D" w:rsidP="008D7162">
      <w:pPr>
        <w:pStyle w:val="Testo1"/>
        <w:spacing w:before="0" w:line="240" w:lineRule="atLeast"/>
        <w:rPr>
          <w:rFonts w:ascii="Times New Roman" w:hAnsi="Times New Roman"/>
          <w:spacing w:val="-5"/>
          <w:szCs w:val="18"/>
        </w:rPr>
      </w:pPr>
      <w:r w:rsidRPr="00634F5D">
        <w:rPr>
          <w:rFonts w:ascii="Times New Roman" w:hAnsi="Times New Roman"/>
          <w:smallCaps/>
          <w:spacing w:val="-5"/>
          <w:sz w:val="16"/>
          <w:szCs w:val="16"/>
        </w:rPr>
        <w:t>F. Colombo</w:t>
      </w:r>
      <w:r w:rsidR="00B8779E" w:rsidRPr="00634F5D">
        <w:rPr>
          <w:rFonts w:ascii="Times New Roman" w:hAnsi="Times New Roman"/>
          <w:smallCaps/>
          <w:spacing w:val="-5"/>
          <w:sz w:val="16"/>
          <w:szCs w:val="16"/>
        </w:rPr>
        <w:t>,</w:t>
      </w:r>
      <w:r w:rsidRPr="00634F5D">
        <w:rPr>
          <w:rFonts w:ascii="Times New Roman" w:hAnsi="Times New Roman"/>
          <w:i/>
          <w:spacing w:val="-5"/>
          <w:sz w:val="16"/>
          <w:szCs w:val="16"/>
        </w:rPr>
        <w:t xml:space="preserve"> </w:t>
      </w:r>
      <w:r w:rsidRPr="00B04AE3">
        <w:rPr>
          <w:rFonts w:ascii="Times New Roman" w:hAnsi="Times New Roman"/>
          <w:i/>
          <w:spacing w:val="-5"/>
          <w:szCs w:val="18"/>
        </w:rPr>
        <w:t xml:space="preserve">Fondamenti </w:t>
      </w:r>
      <w:r w:rsidR="00FA0061" w:rsidRPr="00B04AE3">
        <w:rPr>
          <w:rFonts w:ascii="Times New Roman" w:hAnsi="Times New Roman"/>
          <w:i/>
          <w:spacing w:val="-5"/>
          <w:szCs w:val="18"/>
        </w:rPr>
        <w:t xml:space="preserve">razionali </w:t>
      </w:r>
      <w:r w:rsidRPr="00B04AE3">
        <w:rPr>
          <w:rFonts w:ascii="Times New Roman" w:hAnsi="Times New Roman"/>
          <w:i/>
          <w:spacing w:val="-5"/>
          <w:szCs w:val="18"/>
        </w:rPr>
        <w:t>di economia finanziaria</w:t>
      </w:r>
      <w:r w:rsidR="00B8779E" w:rsidRPr="00B04AE3">
        <w:rPr>
          <w:rFonts w:ascii="Times New Roman" w:hAnsi="Times New Roman"/>
          <w:i/>
          <w:spacing w:val="-5"/>
          <w:szCs w:val="18"/>
        </w:rPr>
        <w:t>,</w:t>
      </w:r>
      <w:r w:rsidR="00B8779E" w:rsidRPr="00B04AE3">
        <w:rPr>
          <w:rFonts w:ascii="Times New Roman" w:hAnsi="Times New Roman"/>
          <w:spacing w:val="-5"/>
          <w:szCs w:val="18"/>
        </w:rPr>
        <w:t xml:space="preserve"> </w:t>
      </w:r>
      <w:r w:rsidRPr="00B04AE3">
        <w:rPr>
          <w:rFonts w:ascii="Times New Roman" w:hAnsi="Times New Roman"/>
          <w:spacing w:val="-5"/>
          <w:szCs w:val="18"/>
        </w:rPr>
        <w:t>Giappichelli</w:t>
      </w:r>
      <w:r w:rsidR="00B8779E" w:rsidRPr="00B04AE3">
        <w:rPr>
          <w:rFonts w:ascii="Times New Roman" w:hAnsi="Times New Roman"/>
          <w:spacing w:val="-5"/>
          <w:szCs w:val="18"/>
        </w:rPr>
        <w:t>, 20</w:t>
      </w:r>
      <w:r w:rsidRPr="00B04AE3">
        <w:rPr>
          <w:rFonts w:ascii="Times New Roman" w:hAnsi="Times New Roman"/>
          <w:spacing w:val="-5"/>
          <w:szCs w:val="18"/>
        </w:rPr>
        <w:t>2</w:t>
      </w:r>
      <w:r w:rsidR="00FA0061" w:rsidRPr="00B04AE3">
        <w:rPr>
          <w:rFonts w:ascii="Times New Roman" w:hAnsi="Times New Roman"/>
          <w:spacing w:val="-5"/>
          <w:szCs w:val="18"/>
        </w:rPr>
        <w:t>3</w:t>
      </w:r>
      <w:r w:rsidR="00B8779E" w:rsidRPr="00B04AE3">
        <w:rPr>
          <w:rFonts w:ascii="Times New Roman" w:hAnsi="Times New Roman"/>
          <w:spacing w:val="-5"/>
          <w:szCs w:val="18"/>
        </w:rPr>
        <w:t>.</w:t>
      </w:r>
      <w:r w:rsidR="00386728">
        <w:rPr>
          <w:rFonts w:ascii="Times New Roman" w:hAnsi="Times New Roman"/>
          <w:spacing w:val="-5"/>
          <w:szCs w:val="18"/>
        </w:rPr>
        <w:t xml:space="preserve"> </w:t>
      </w:r>
      <w:bookmarkStart w:id="0" w:name="_Hlk170391661"/>
      <w:r w:rsidR="00386728">
        <w:rPr>
          <w:rFonts w:ascii="Times New Roman" w:hAnsi="Times New Roman"/>
          <w:i/>
          <w:color w:val="0070C0"/>
          <w:szCs w:val="18"/>
        </w:rPr>
        <w:fldChar w:fldCharType="begin"/>
      </w:r>
      <w:r w:rsidR="00386728">
        <w:rPr>
          <w:rFonts w:ascii="Times New Roman" w:hAnsi="Times New Roman"/>
          <w:i/>
          <w:color w:val="0070C0"/>
          <w:szCs w:val="18"/>
        </w:rPr>
        <w:instrText>HYPERLINK "https://librerie.unicatt.it/scheda-libro/ferdinando-colombo/fondamenti-razionali-di-economia-finanziaria-9788892143920-719644.html"</w:instrText>
      </w:r>
      <w:r w:rsidR="00386728">
        <w:rPr>
          <w:rFonts w:ascii="Times New Roman" w:hAnsi="Times New Roman"/>
          <w:i/>
          <w:color w:val="0070C0"/>
          <w:szCs w:val="18"/>
        </w:rPr>
      </w:r>
      <w:r w:rsidR="00386728">
        <w:rPr>
          <w:rFonts w:ascii="Times New Roman" w:hAnsi="Times New Roman"/>
          <w:i/>
          <w:color w:val="0070C0"/>
          <w:szCs w:val="18"/>
        </w:rPr>
        <w:fldChar w:fldCharType="separate"/>
      </w:r>
      <w:r w:rsidR="00386728" w:rsidRPr="00386728">
        <w:rPr>
          <w:rStyle w:val="Collegamentoipertestuale"/>
          <w:rFonts w:ascii="Times New Roman" w:hAnsi="Times New Roman"/>
          <w:i/>
          <w:szCs w:val="18"/>
        </w:rPr>
        <w:t>Acquista da VP</w:t>
      </w:r>
      <w:bookmarkEnd w:id="0"/>
      <w:r w:rsidR="00386728">
        <w:rPr>
          <w:rFonts w:ascii="Times New Roman" w:hAnsi="Times New Roman"/>
          <w:i/>
          <w:color w:val="0070C0"/>
          <w:szCs w:val="18"/>
        </w:rPr>
        <w:fldChar w:fldCharType="end"/>
      </w:r>
    </w:p>
    <w:p w14:paraId="27AD9166" w14:textId="3FE41373" w:rsidR="00634F5D" w:rsidRPr="00B04AE3" w:rsidRDefault="00634F5D" w:rsidP="00634F5D">
      <w:pPr>
        <w:pStyle w:val="Testo1"/>
        <w:spacing w:before="0" w:line="240" w:lineRule="atLeast"/>
        <w:rPr>
          <w:rFonts w:ascii="Times New Roman" w:hAnsi="Times New Roman"/>
          <w:spacing w:val="-5"/>
          <w:szCs w:val="18"/>
        </w:rPr>
      </w:pPr>
      <w:r w:rsidRPr="00634F5D">
        <w:rPr>
          <w:rFonts w:ascii="Times New Roman" w:hAnsi="Times New Roman"/>
          <w:smallCaps/>
          <w:spacing w:val="-5"/>
          <w:sz w:val="16"/>
          <w:szCs w:val="16"/>
        </w:rPr>
        <w:lastRenderedPageBreak/>
        <w:t>F. Colombo</w:t>
      </w:r>
      <w:r w:rsidRPr="00B04AE3">
        <w:rPr>
          <w:rFonts w:ascii="Times New Roman" w:hAnsi="Times New Roman"/>
          <w:smallCaps/>
          <w:spacing w:val="-5"/>
          <w:szCs w:val="18"/>
        </w:rPr>
        <w:t>,</w:t>
      </w:r>
      <w:r w:rsidRPr="00B04AE3">
        <w:rPr>
          <w:rFonts w:ascii="Times New Roman" w:hAnsi="Times New Roman"/>
          <w:i/>
          <w:spacing w:val="-5"/>
          <w:szCs w:val="18"/>
        </w:rPr>
        <w:t xml:space="preserve"> Rischio, informazione, equilibrio. Esercizi di economia finanziaria,</w:t>
      </w:r>
      <w:r w:rsidRPr="00B04AE3">
        <w:rPr>
          <w:rFonts w:ascii="Times New Roman" w:hAnsi="Times New Roman"/>
          <w:spacing w:val="-5"/>
          <w:szCs w:val="18"/>
        </w:rPr>
        <w:t xml:space="preserve"> Giappichelli, </w:t>
      </w:r>
      <w:r w:rsidR="00C470A6">
        <w:rPr>
          <w:rFonts w:ascii="Times New Roman" w:hAnsi="Times New Roman"/>
          <w:spacing w:val="-5"/>
          <w:szCs w:val="18"/>
        </w:rPr>
        <w:t>2024</w:t>
      </w:r>
      <w:r w:rsidRPr="00B04AE3">
        <w:rPr>
          <w:rFonts w:ascii="Times New Roman" w:hAnsi="Times New Roman"/>
          <w:spacing w:val="-5"/>
          <w:szCs w:val="18"/>
        </w:rPr>
        <w:t>.</w:t>
      </w:r>
      <w:r w:rsidR="00386728">
        <w:rPr>
          <w:rFonts w:ascii="Times New Roman" w:hAnsi="Times New Roman"/>
          <w:spacing w:val="-5"/>
          <w:szCs w:val="18"/>
        </w:rPr>
        <w:t xml:space="preserve"> </w:t>
      </w:r>
      <w:hyperlink r:id="rId11" w:history="1">
        <w:r w:rsidR="00386728" w:rsidRPr="00386728">
          <w:rPr>
            <w:rStyle w:val="Collegamentoipertestuale"/>
            <w:rFonts w:ascii="Times New Roman" w:hAnsi="Times New Roman"/>
            <w:i/>
            <w:szCs w:val="18"/>
          </w:rPr>
          <w:t>Acquista da VP</w:t>
        </w:r>
      </w:hyperlink>
    </w:p>
    <w:p w14:paraId="4E74ED99" w14:textId="77777777" w:rsidR="008D7162" w:rsidRPr="00B04AE3" w:rsidRDefault="00FB595D" w:rsidP="008D7162">
      <w:pPr>
        <w:pStyle w:val="Testo1"/>
        <w:spacing w:before="0" w:line="240" w:lineRule="atLeast"/>
        <w:rPr>
          <w:rFonts w:ascii="Times New Roman" w:hAnsi="Times New Roman"/>
          <w:spacing w:val="-5"/>
          <w:szCs w:val="18"/>
          <w:lang w:val="en-US"/>
        </w:rPr>
      </w:pPr>
      <w:r>
        <w:rPr>
          <w:rFonts w:ascii="Times New Roman" w:hAnsi="Times New Roman"/>
          <w:smallCaps/>
          <w:spacing w:val="-5"/>
          <w:sz w:val="16"/>
          <w:szCs w:val="16"/>
          <w:lang w:val="en-US"/>
        </w:rPr>
        <w:t>N. Barberis-R. Thaler</w:t>
      </w:r>
      <w:r w:rsidR="008D7162" w:rsidRPr="00634F5D">
        <w:rPr>
          <w:rFonts w:ascii="Times New Roman" w:hAnsi="Times New Roman"/>
          <w:smallCaps/>
          <w:spacing w:val="-5"/>
          <w:sz w:val="16"/>
          <w:szCs w:val="16"/>
          <w:lang w:val="en-US"/>
        </w:rPr>
        <w:t>,</w:t>
      </w:r>
      <w:r w:rsidR="008D7162" w:rsidRPr="00634F5D">
        <w:rPr>
          <w:rFonts w:ascii="Times New Roman" w:hAnsi="Times New Roman"/>
          <w:i/>
          <w:spacing w:val="-5"/>
          <w:sz w:val="16"/>
          <w:szCs w:val="16"/>
          <w:lang w:val="en-US"/>
        </w:rPr>
        <w:t xml:space="preserve"> </w:t>
      </w:r>
      <w:r w:rsidR="008D7162" w:rsidRPr="00B04AE3">
        <w:rPr>
          <w:rFonts w:ascii="Times New Roman" w:hAnsi="Times New Roman"/>
          <w:i/>
          <w:spacing w:val="-5"/>
          <w:szCs w:val="18"/>
          <w:lang w:val="en-US"/>
        </w:rPr>
        <w:t>A Survey of Behavioral Finance,</w:t>
      </w:r>
      <w:r w:rsidR="008D7162" w:rsidRPr="00B04AE3">
        <w:rPr>
          <w:rFonts w:ascii="Times New Roman" w:hAnsi="Times New Roman"/>
          <w:spacing w:val="-5"/>
          <w:szCs w:val="18"/>
          <w:lang w:val="en-US"/>
        </w:rPr>
        <w:t xml:space="preserve"> in Constandinides </w:t>
      </w:r>
      <w:r w:rsidRPr="00B04AE3">
        <w:rPr>
          <w:rFonts w:ascii="Times New Roman" w:hAnsi="Times New Roman"/>
          <w:i/>
          <w:spacing w:val="-5"/>
          <w:szCs w:val="18"/>
          <w:lang w:val="en-US"/>
        </w:rPr>
        <w:t>et al</w:t>
      </w:r>
      <w:r w:rsidR="008D7162" w:rsidRPr="00B04AE3">
        <w:rPr>
          <w:rFonts w:ascii="Times New Roman" w:hAnsi="Times New Roman"/>
          <w:spacing w:val="-5"/>
          <w:szCs w:val="18"/>
          <w:lang w:val="en-US"/>
        </w:rPr>
        <w:t>, Handbook of the Economics of Finance, Vol. 1, Parte 2, Elsevier, 2003.</w:t>
      </w:r>
    </w:p>
    <w:p w14:paraId="27507854" w14:textId="77777777" w:rsidR="008D7162" w:rsidRDefault="008D7162" w:rsidP="008D7162">
      <w:pPr>
        <w:spacing w:before="240" w:after="120"/>
        <w:rPr>
          <w:b/>
          <w:i/>
          <w:sz w:val="18"/>
        </w:rPr>
      </w:pPr>
      <w:r>
        <w:rPr>
          <w:b/>
          <w:i/>
          <w:sz w:val="18"/>
        </w:rPr>
        <w:t>DIDATTICA DEL CORSO</w:t>
      </w:r>
    </w:p>
    <w:p w14:paraId="5524FB52" w14:textId="53448C56" w:rsidR="008D7162" w:rsidRPr="00F31276" w:rsidRDefault="008D7162" w:rsidP="008D7162">
      <w:pPr>
        <w:pStyle w:val="Testo2"/>
      </w:pPr>
      <w:r w:rsidRPr="00F31276">
        <w:t>Lezioni</w:t>
      </w:r>
      <w:r w:rsidR="00794CE5">
        <w:t xml:space="preserve"> frontali, con applicazioni economiche ed esercizi numerici</w:t>
      </w:r>
      <w:r w:rsidRPr="00F31276">
        <w:t>.</w:t>
      </w:r>
    </w:p>
    <w:p w14:paraId="06CA4A3D" w14:textId="77777777" w:rsidR="008D7162" w:rsidRDefault="008D7162" w:rsidP="008D7162">
      <w:pPr>
        <w:spacing w:before="240" w:after="120"/>
        <w:rPr>
          <w:b/>
          <w:i/>
          <w:sz w:val="18"/>
        </w:rPr>
      </w:pPr>
      <w:r>
        <w:rPr>
          <w:b/>
          <w:i/>
          <w:sz w:val="18"/>
        </w:rPr>
        <w:t>METODO E CRITERI DI VALUTAZIONE</w:t>
      </w:r>
    </w:p>
    <w:p w14:paraId="198ECAA6" w14:textId="31AD4CBB" w:rsidR="008D7162" w:rsidRPr="00476B57" w:rsidRDefault="008D7162" w:rsidP="00D47F7A">
      <w:pPr>
        <w:pStyle w:val="Testo2"/>
        <w:rPr>
          <w:szCs w:val="18"/>
        </w:rPr>
      </w:pPr>
      <w:r w:rsidRPr="00F31276">
        <w:t xml:space="preserve">L’esame </w:t>
      </w:r>
      <w:r w:rsidR="00FB5E21">
        <w:t>consiste in</w:t>
      </w:r>
      <w:r w:rsidRPr="00F31276">
        <w:t xml:space="preserve"> una prova scritta della durata di </w:t>
      </w:r>
      <w:r w:rsidR="00D46E3A">
        <w:t>10</w:t>
      </w:r>
      <w:r w:rsidR="0051294F">
        <w:t>0</w:t>
      </w:r>
      <w:r w:rsidRPr="00F31276">
        <w:t xml:space="preserve"> minu</w:t>
      </w:r>
      <w:r>
        <w:t>ti</w:t>
      </w:r>
      <w:r w:rsidR="00FB5E21">
        <w:t>. L</w:t>
      </w:r>
      <w:r>
        <w:t>o studente dovrà</w:t>
      </w:r>
      <w:r w:rsidRPr="00F31276">
        <w:t xml:space="preserve"> dimostrare di </w:t>
      </w:r>
      <w:r w:rsidR="00794CE5">
        <w:t xml:space="preserve">conoscere </w:t>
      </w:r>
      <w:r w:rsidR="00F20F09">
        <w:t xml:space="preserve">e aver compreso </w:t>
      </w:r>
      <w:r w:rsidRPr="00F31276">
        <w:t xml:space="preserve">gli argomenti teorici </w:t>
      </w:r>
      <w:r w:rsidR="00FB5E21">
        <w:t>trattati</w:t>
      </w:r>
      <w:r w:rsidRPr="00F31276">
        <w:t xml:space="preserve"> durante il corso</w:t>
      </w:r>
      <w:r w:rsidR="00F20F09">
        <w:t xml:space="preserve"> e illustrati nel manuale. Dovrà altresì essere in grado di risolvere</w:t>
      </w:r>
      <w:r w:rsidRPr="00F31276">
        <w:t xml:space="preserve"> esercizi numerici simili a quelli </w:t>
      </w:r>
      <w:r w:rsidR="00F20F09">
        <w:t>visti</w:t>
      </w:r>
      <w:r w:rsidRPr="00F31276">
        <w:t xml:space="preserve"> in </w:t>
      </w:r>
      <w:r w:rsidR="00FB5E21">
        <w:t xml:space="preserve">aula </w:t>
      </w:r>
      <w:r w:rsidRPr="00F31276">
        <w:t xml:space="preserve">o </w:t>
      </w:r>
      <w:r w:rsidR="002254A3">
        <w:t>assegnati come attività individuale</w:t>
      </w:r>
      <w:r w:rsidR="00CB033A">
        <w:t xml:space="preserve"> di </w:t>
      </w:r>
      <w:r w:rsidR="00CB033A">
        <w:rPr>
          <w:rFonts w:cs="Times"/>
        </w:rPr>
        <w:t>verifica</w:t>
      </w:r>
      <w:r w:rsidR="00562B79">
        <w:rPr>
          <w:rFonts w:cs="Times"/>
        </w:rPr>
        <w:t xml:space="preserve"> e di commentarli </w:t>
      </w:r>
      <w:r w:rsidR="00BF4297">
        <w:rPr>
          <w:rFonts w:cs="Times"/>
        </w:rPr>
        <w:t>economicamente</w:t>
      </w:r>
      <w:r w:rsidR="00F20F09">
        <w:t>.</w:t>
      </w:r>
      <w:r w:rsidR="00BF4297">
        <w:t xml:space="preserve"> L’interpretazione economica dei risultati è fondamentale</w:t>
      </w:r>
      <w:r w:rsidR="00137372">
        <w:t xml:space="preserve">. </w:t>
      </w:r>
      <w:r w:rsidR="00F54DD0">
        <w:t xml:space="preserve"> La Parte A dell’esame è costituita da tre</w:t>
      </w:r>
      <w:r w:rsidR="00964950">
        <w:t xml:space="preserve"> domande</w:t>
      </w:r>
      <w:r w:rsidR="0097061B">
        <w:t xml:space="preserve">, ciascuna delle quali richiederà </w:t>
      </w:r>
      <w:r w:rsidR="000C3940">
        <w:t xml:space="preserve">sempre </w:t>
      </w:r>
      <w:r w:rsidR="0097061B">
        <w:t>la conoscenza della teoria</w:t>
      </w:r>
      <w:r w:rsidR="000C3940">
        <w:t xml:space="preserve"> e, molto spesso, la risoluzione di esercizi relativamente brevi</w:t>
      </w:r>
      <w:r w:rsidR="004568B2">
        <w:t xml:space="preserve">. </w:t>
      </w:r>
      <w:r w:rsidR="00014DBA">
        <w:t xml:space="preserve">La Parte A attribuirà il 75% del voto finale. La Parte B è invece costituita </w:t>
      </w:r>
      <w:r w:rsidR="00755F51">
        <w:t>da un esercizio numerico</w:t>
      </w:r>
      <w:r w:rsidR="00C86932">
        <w:t>, che dovrà essere risolto e commentato economicamente. La parte B attribuirà il 25% del voto finale.</w:t>
      </w:r>
    </w:p>
    <w:p w14:paraId="3DFE8A09" w14:textId="7A6D61C0" w:rsidR="004671EA" w:rsidRPr="00C4007D" w:rsidRDefault="00562381" w:rsidP="007D0FCC">
      <w:pPr>
        <w:pStyle w:val="Testo2"/>
        <w:rPr>
          <w:szCs w:val="18"/>
        </w:rPr>
      </w:pPr>
      <w:r w:rsidRPr="00562381">
        <w:t>Gli studenti frequentanti potranno sostenere l’esame mediante due prove scritte</w:t>
      </w:r>
      <w:r w:rsidR="00AD307C">
        <w:t xml:space="preserve">: </w:t>
      </w:r>
      <w:r w:rsidR="009B4F49">
        <w:t xml:space="preserve">una prova </w:t>
      </w:r>
      <w:r w:rsidR="00AD307C">
        <w:t xml:space="preserve">intermedia e </w:t>
      </w:r>
      <w:r w:rsidR="009B4F49">
        <w:t>una prova di</w:t>
      </w:r>
      <w:r w:rsidR="00AD307C">
        <w:t xml:space="preserve"> completamento</w:t>
      </w:r>
      <w:r w:rsidRPr="00562381">
        <w:t xml:space="preserve">. Per accedere alla prova intermedia sarà necessario aver frequentato almeno il 75% delle lezioni delle prime sei settimane del corso; per accedere alla prova di completamento sarà invece necessario aver </w:t>
      </w:r>
      <w:r>
        <w:t>ottenuto</w:t>
      </w:r>
      <w:r w:rsidR="00D9474F">
        <w:t xml:space="preserve"> la sufficienza nella prova intermedia e aver </w:t>
      </w:r>
      <w:r w:rsidRPr="00562381">
        <w:t>frequentato almeno il 75% delle lezioni delle seconde sei settimane.</w:t>
      </w:r>
      <w:r w:rsidR="00D9474F">
        <w:t xml:space="preserve"> </w:t>
      </w:r>
      <w:r w:rsidR="008D7162">
        <w:t xml:space="preserve">La </w:t>
      </w:r>
      <w:r w:rsidR="008D7162" w:rsidRPr="00F31276">
        <w:t>prova</w:t>
      </w:r>
      <w:r w:rsidR="008E45A8">
        <w:t xml:space="preserve"> intermedia</w:t>
      </w:r>
      <w:r w:rsidR="008D7162" w:rsidRPr="00F31276">
        <w:t xml:space="preserve"> avrà luogo durante la settima settimana del corso</w:t>
      </w:r>
      <w:r w:rsidR="004671EA">
        <w:t xml:space="preserve">, </w:t>
      </w:r>
      <w:r w:rsidR="008D7162">
        <w:t xml:space="preserve">mentre la </w:t>
      </w:r>
      <w:r w:rsidR="00D46E3A">
        <w:t>prova di completamento</w:t>
      </w:r>
      <w:r w:rsidR="008D7162">
        <w:t xml:space="preserve"> </w:t>
      </w:r>
      <w:r w:rsidR="00D46E3A">
        <w:t>p</w:t>
      </w:r>
      <w:r w:rsidR="004671EA">
        <w:t>o</w:t>
      </w:r>
      <w:r w:rsidR="00D46E3A">
        <w:t>t</w:t>
      </w:r>
      <w:r w:rsidR="004671EA">
        <w:t>rà</w:t>
      </w:r>
      <w:r w:rsidR="008D7162" w:rsidRPr="00F31276">
        <w:t xml:space="preserve"> essere sostenuta</w:t>
      </w:r>
      <w:r w:rsidR="004671EA">
        <w:t xml:space="preserve"> </w:t>
      </w:r>
      <w:r w:rsidR="008D7162" w:rsidRPr="00F31276">
        <w:t xml:space="preserve">nel primo </w:t>
      </w:r>
      <w:r w:rsidR="0051294F">
        <w:t xml:space="preserve">oppure nel secondo </w:t>
      </w:r>
      <w:r w:rsidR="008D7162" w:rsidRPr="00F31276">
        <w:t>appello dell</w:t>
      </w:r>
      <w:r w:rsidR="008D7162">
        <w:t xml:space="preserve">a sessione </w:t>
      </w:r>
      <w:r w:rsidR="0051294F">
        <w:t>est</w:t>
      </w:r>
      <w:r w:rsidR="00D46E3A">
        <w:t>i</w:t>
      </w:r>
      <w:r w:rsidR="0051294F">
        <w:t>va</w:t>
      </w:r>
      <w:r w:rsidR="00D46E3A">
        <w:t>, a scelta dello studente</w:t>
      </w:r>
      <w:r w:rsidR="004671EA">
        <w:t xml:space="preserve">. </w:t>
      </w:r>
      <w:r w:rsidR="00B142EE">
        <w:t xml:space="preserve">Ciascuna </w:t>
      </w:r>
      <w:r w:rsidR="008E45A8">
        <w:t>prova</w:t>
      </w:r>
      <w:r w:rsidR="00B142EE">
        <w:t xml:space="preserve"> avrà </w:t>
      </w:r>
      <w:r w:rsidR="00FB5E21">
        <w:t>un</w:t>
      </w:r>
      <w:r w:rsidR="00B142EE">
        <w:t xml:space="preserve">a </w:t>
      </w:r>
      <w:r w:rsidR="004671EA">
        <w:t xml:space="preserve">durata di </w:t>
      </w:r>
      <w:r w:rsidR="00D46E3A">
        <w:t>8</w:t>
      </w:r>
      <w:r w:rsidR="0051294F">
        <w:t>0</w:t>
      </w:r>
      <w:r w:rsidR="008D7162">
        <w:t xml:space="preserve"> minuti</w:t>
      </w:r>
      <w:r w:rsidR="008D7162" w:rsidRPr="00F31276">
        <w:t>.</w:t>
      </w:r>
      <w:r w:rsidR="00EF03ED">
        <w:t xml:space="preserve"> La Parte A, che attribuirà </w:t>
      </w:r>
      <w:r w:rsidR="00680B8C">
        <w:t xml:space="preserve">il 70% del voto finale, è costituita </w:t>
      </w:r>
      <w:r w:rsidR="00242884">
        <w:t>da due domande, ciascuna delle quali richiederà sempre la conoscenza della teoria e, molto spesso, la risoluzione di esercizi relativamente brevi. La Parte B, che attribuirà il 30% del voto finale, è invece costituita da un esercizio numerico, che dovrà essere risolto e commentato economicamente.</w:t>
      </w:r>
      <w:r w:rsidR="004060D6">
        <w:t xml:space="preserve"> </w:t>
      </w:r>
      <w:r w:rsidR="004060D6" w:rsidRPr="004060D6">
        <w:t xml:space="preserve">La formula di aggregazione dei voti è costruita in modo da valorizzare il percorso dei frequentanti e il lavoro svolto durante il </w:t>
      </w:r>
      <w:r w:rsidR="004060D6">
        <w:t>quadrimestre</w:t>
      </w:r>
      <w:r w:rsidR="004060D6" w:rsidRPr="004060D6">
        <w:t>.</w:t>
      </w:r>
      <w:r w:rsidR="007D0FCC">
        <w:t xml:space="preserve"> </w:t>
      </w:r>
      <w:r w:rsidR="0049504B">
        <w:t xml:space="preserve">Sia I il voto conseguito nella prova intermedia e </w:t>
      </w:r>
      <w:r w:rsidR="00507EE5">
        <w:t>C nella prova di completamento. Il voto finale sarà</w:t>
      </w:r>
      <w:r w:rsidR="0060650B" w:rsidRPr="00C4007D">
        <w:rPr>
          <w:rFonts w:ascii="Times New Roman" w:hAnsi="Times New Roman"/>
          <w:szCs w:val="18"/>
        </w:rPr>
        <w:t xml:space="preserve"> il numero intero più vicino a 0.529·I + 0.529·C.</w:t>
      </w:r>
    </w:p>
    <w:p w14:paraId="690251CF" w14:textId="77777777" w:rsidR="008D7162" w:rsidRDefault="008D7162" w:rsidP="008D7162">
      <w:pPr>
        <w:spacing w:before="240" w:after="120" w:line="240" w:lineRule="exact"/>
        <w:rPr>
          <w:b/>
          <w:i/>
          <w:sz w:val="18"/>
        </w:rPr>
      </w:pPr>
      <w:r>
        <w:rPr>
          <w:b/>
          <w:i/>
          <w:sz w:val="18"/>
        </w:rPr>
        <w:t>AVVERTENZE E PREREQUISITI</w:t>
      </w:r>
    </w:p>
    <w:p w14:paraId="7BF2DE9B" w14:textId="15A14171" w:rsidR="004840BC" w:rsidRPr="004840BC" w:rsidRDefault="004840BC" w:rsidP="004840BC">
      <w:pPr>
        <w:spacing w:line="240" w:lineRule="exact"/>
        <w:rPr>
          <w:rFonts w:ascii="Times" w:hAnsi="Times"/>
          <w:noProof/>
          <w:sz w:val="18"/>
          <w:szCs w:val="20"/>
        </w:rPr>
      </w:pPr>
      <w:r>
        <w:rPr>
          <w:rFonts w:ascii="Times" w:hAnsi="Times"/>
          <w:noProof/>
          <w:sz w:val="18"/>
          <w:szCs w:val="20"/>
        </w:rPr>
        <w:tab/>
      </w:r>
      <w:r w:rsidRPr="004840BC">
        <w:rPr>
          <w:rFonts w:ascii="Times" w:hAnsi="Times"/>
          <w:noProof/>
          <w:sz w:val="18"/>
          <w:szCs w:val="20"/>
        </w:rPr>
        <w:t>Il corso prevede un utilizzo esteso di strumenti matematici e statistici normalmente acquisiti nei corsi di base delle lauree triennali in ambito economico. La soluzione degli esercizi numerici potrà richiedere, ad esempio, l’utilizzo di strumenti di analisi matematica (derivate di funzioni composte e problemi di ottimizzazione), probabilità e statistica (funzioni di densità e di ripartizione, probabilità condizionata) e algebra lineare di base (sistemi di equazioni e dipendenza lineare tra vettori).</w:t>
      </w:r>
    </w:p>
    <w:p w14:paraId="2F52EB01" w14:textId="209C8110" w:rsidR="004840BC" w:rsidRPr="004840BC" w:rsidRDefault="004840BC" w:rsidP="004840BC">
      <w:pPr>
        <w:spacing w:line="240" w:lineRule="exact"/>
        <w:rPr>
          <w:rFonts w:ascii="Times" w:hAnsi="Times"/>
          <w:noProof/>
          <w:sz w:val="18"/>
          <w:szCs w:val="20"/>
        </w:rPr>
      </w:pPr>
      <w:r>
        <w:rPr>
          <w:rFonts w:ascii="Times" w:hAnsi="Times"/>
          <w:noProof/>
          <w:sz w:val="18"/>
          <w:szCs w:val="20"/>
        </w:rPr>
        <w:lastRenderedPageBreak/>
        <w:tab/>
      </w:r>
      <w:r w:rsidRPr="004840BC">
        <w:rPr>
          <w:rFonts w:ascii="Times" w:hAnsi="Times"/>
          <w:noProof/>
          <w:sz w:val="18"/>
          <w:szCs w:val="20"/>
        </w:rPr>
        <w:t>La frequenza assidua e attiva al corso è fortemente raccomandata, poiché consente un’assimilazione graduale dei concetti illustrati e della strumentazione analitica utilizzata.</w:t>
      </w:r>
    </w:p>
    <w:p w14:paraId="1B0E413C" w14:textId="2F100BCB" w:rsidR="004840BC" w:rsidRPr="004840BC" w:rsidRDefault="004840BC" w:rsidP="004840BC">
      <w:pPr>
        <w:spacing w:line="240" w:lineRule="exact"/>
        <w:rPr>
          <w:rFonts w:ascii="Times" w:hAnsi="Times"/>
          <w:noProof/>
          <w:sz w:val="18"/>
          <w:szCs w:val="20"/>
        </w:rPr>
      </w:pPr>
      <w:r>
        <w:rPr>
          <w:rFonts w:ascii="Times" w:hAnsi="Times"/>
          <w:noProof/>
          <w:sz w:val="18"/>
          <w:szCs w:val="20"/>
        </w:rPr>
        <w:tab/>
      </w:r>
      <w:r w:rsidRPr="004840BC">
        <w:rPr>
          <w:rFonts w:ascii="Times" w:hAnsi="Times"/>
          <w:noProof/>
          <w:sz w:val="18"/>
          <w:szCs w:val="20"/>
        </w:rPr>
        <w:t>Nella pagina Blackboard del corso sono disponibili il programma dettagliato, i testi delle esercitazioni svolte in aula, ulteriori esercizi assegnati per attività individuali di verifica e fac simile delle diverse tipologie di prova d’esame (prova intermedia, prova di completamento e prova unica finale).</w:t>
      </w:r>
    </w:p>
    <w:p w14:paraId="5D3D8B48" w14:textId="0E2A8765" w:rsidR="00AC3D99" w:rsidRDefault="00AC3D99" w:rsidP="00AC3D99">
      <w:pPr>
        <w:spacing w:before="240" w:after="120" w:line="240" w:lineRule="exact"/>
        <w:rPr>
          <w:b/>
          <w:i/>
          <w:sz w:val="18"/>
        </w:rPr>
      </w:pPr>
      <w:r>
        <w:rPr>
          <w:b/>
          <w:i/>
          <w:sz w:val="18"/>
        </w:rPr>
        <w:t>ORARIO E LUOGO DI RICEVIMENTO DEGLI STUDENTI</w:t>
      </w:r>
    </w:p>
    <w:p w14:paraId="51985D3B" w14:textId="79FE576D" w:rsidR="00AC3D99" w:rsidRPr="00825E27" w:rsidRDefault="00AC3D99" w:rsidP="00AC3D99">
      <w:pPr>
        <w:tabs>
          <w:tab w:val="clear" w:pos="284"/>
        </w:tabs>
        <w:ind w:firstLine="284"/>
        <w:rPr>
          <w:rFonts w:ascii="Times" w:hAnsi="Times"/>
          <w:noProof/>
          <w:sz w:val="18"/>
          <w:szCs w:val="20"/>
        </w:rPr>
      </w:pPr>
      <w:r w:rsidRPr="00F31276">
        <w:rPr>
          <w:rFonts w:ascii="Times" w:hAnsi="Times"/>
          <w:noProof/>
          <w:sz w:val="18"/>
          <w:szCs w:val="20"/>
        </w:rPr>
        <w:t>I</w:t>
      </w:r>
      <w:r>
        <w:rPr>
          <w:rFonts w:ascii="Times" w:hAnsi="Times"/>
          <w:noProof/>
          <w:sz w:val="18"/>
          <w:szCs w:val="20"/>
        </w:rPr>
        <w:t>I docente riceve gli studenti, in presenza nel suo ufficio</w:t>
      </w:r>
      <w:r w:rsidR="00794CE5">
        <w:rPr>
          <w:rFonts w:ascii="Times" w:hAnsi="Times"/>
          <w:noProof/>
          <w:sz w:val="18"/>
          <w:szCs w:val="20"/>
        </w:rPr>
        <w:t xml:space="preserve"> (uff. 412, via Necchi 5)</w:t>
      </w:r>
      <w:r>
        <w:rPr>
          <w:rFonts w:ascii="Times" w:hAnsi="Times"/>
          <w:noProof/>
          <w:sz w:val="18"/>
          <w:szCs w:val="20"/>
        </w:rPr>
        <w:t xml:space="preserve"> oppure da remoto tramite Microsoft Teams, previa richiesta di appuntamento </w:t>
      </w:r>
      <w:r w:rsidR="00794CE5">
        <w:rPr>
          <w:rFonts w:ascii="Times" w:hAnsi="Times"/>
          <w:noProof/>
          <w:sz w:val="18"/>
          <w:szCs w:val="20"/>
        </w:rPr>
        <w:t>da effettuarsi inviando una</w:t>
      </w:r>
      <w:r>
        <w:rPr>
          <w:rFonts w:ascii="Times" w:hAnsi="Times"/>
          <w:noProof/>
          <w:sz w:val="18"/>
          <w:szCs w:val="20"/>
        </w:rPr>
        <w:t xml:space="preserve"> e-mail a </w:t>
      </w:r>
      <w:r w:rsidRPr="00AC3D99">
        <w:rPr>
          <w:rFonts w:ascii="Times" w:hAnsi="Times"/>
          <w:noProof/>
          <w:sz w:val="18"/>
          <w:szCs w:val="20"/>
        </w:rPr>
        <w:t>ferdinando.colombo@unicatt.it</w:t>
      </w:r>
      <w:r>
        <w:rPr>
          <w:rFonts w:ascii="Times" w:hAnsi="Times"/>
          <w:noProof/>
          <w:sz w:val="18"/>
          <w:szCs w:val="20"/>
        </w:rPr>
        <w:t xml:space="preserve">. La data e l’orario verranno concordati con </w:t>
      </w:r>
      <w:r w:rsidR="004B3338">
        <w:rPr>
          <w:rFonts w:ascii="Times" w:hAnsi="Times"/>
          <w:noProof/>
          <w:sz w:val="18"/>
          <w:szCs w:val="20"/>
        </w:rPr>
        <w:t>lo</w:t>
      </w:r>
      <w:r w:rsidR="00F3669C">
        <w:rPr>
          <w:rFonts w:ascii="Times" w:hAnsi="Times"/>
          <w:noProof/>
          <w:sz w:val="18"/>
          <w:szCs w:val="20"/>
        </w:rPr>
        <w:t xml:space="preserve"> </w:t>
      </w:r>
      <w:r>
        <w:rPr>
          <w:rFonts w:ascii="Times" w:hAnsi="Times"/>
          <w:noProof/>
          <w:sz w:val="18"/>
          <w:szCs w:val="20"/>
        </w:rPr>
        <w:t>studente.</w:t>
      </w:r>
    </w:p>
    <w:sectPr w:rsidR="00AC3D99" w:rsidRPr="00825E27"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D0A00" w14:textId="77777777" w:rsidR="00C7049E" w:rsidRDefault="00C7049E" w:rsidP="00386728">
      <w:pPr>
        <w:spacing w:line="240" w:lineRule="auto"/>
      </w:pPr>
      <w:r>
        <w:separator/>
      </w:r>
    </w:p>
  </w:endnote>
  <w:endnote w:type="continuationSeparator" w:id="0">
    <w:p w14:paraId="505B85DB" w14:textId="77777777" w:rsidR="00C7049E" w:rsidRDefault="00C7049E" w:rsidP="003867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27F9A" w14:textId="77777777" w:rsidR="00C7049E" w:rsidRDefault="00C7049E" w:rsidP="00386728">
      <w:pPr>
        <w:spacing w:line="240" w:lineRule="auto"/>
      </w:pPr>
      <w:r>
        <w:separator/>
      </w:r>
    </w:p>
  </w:footnote>
  <w:footnote w:type="continuationSeparator" w:id="0">
    <w:p w14:paraId="3B2DF372" w14:textId="77777777" w:rsidR="00C7049E" w:rsidRDefault="00C7049E" w:rsidP="00386728">
      <w:pPr>
        <w:spacing w:line="240" w:lineRule="auto"/>
      </w:pPr>
      <w:r>
        <w:continuationSeparator/>
      </w:r>
    </w:p>
  </w:footnote>
  <w:footnote w:id="1">
    <w:p w14:paraId="19D7B5E7" w14:textId="57730145" w:rsidR="00386728" w:rsidRDefault="00386728">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66223"/>
    <w:multiLevelType w:val="hybridMultilevel"/>
    <w:tmpl w:val="71FC4DB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4CC12B1"/>
    <w:multiLevelType w:val="hybridMultilevel"/>
    <w:tmpl w:val="AD668D76"/>
    <w:lvl w:ilvl="0" w:tplc="A98CCFC8">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64007892">
    <w:abstractNumId w:val="0"/>
  </w:num>
  <w:num w:numId="2" w16cid:durableId="1766028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162"/>
    <w:rsid w:val="00014DBA"/>
    <w:rsid w:val="00026047"/>
    <w:rsid w:val="00092B56"/>
    <w:rsid w:val="000A5AC9"/>
    <w:rsid w:val="000C3940"/>
    <w:rsid w:val="000E2FF6"/>
    <w:rsid w:val="00122EAD"/>
    <w:rsid w:val="00137372"/>
    <w:rsid w:val="00172777"/>
    <w:rsid w:val="00187B99"/>
    <w:rsid w:val="001E4DC7"/>
    <w:rsid w:val="002014DD"/>
    <w:rsid w:val="00207F98"/>
    <w:rsid w:val="00221CDA"/>
    <w:rsid w:val="002254A3"/>
    <w:rsid w:val="00242884"/>
    <w:rsid w:val="00285171"/>
    <w:rsid w:val="002D5E17"/>
    <w:rsid w:val="002F3784"/>
    <w:rsid w:val="00325E63"/>
    <w:rsid w:val="003805C7"/>
    <w:rsid w:val="00386728"/>
    <w:rsid w:val="003F28A8"/>
    <w:rsid w:val="004060D6"/>
    <w:rsid w:val="0041140B"/>
    <w:rsid w:val="00421996"/>
    <w:rsid w:val="004568B2"/>
    <w:rsid w:val="004671EA"/>
    <w:rsid w:val="004840BC"/>
    <w:rsid w:val="0049504B"/>
    <w:rsid w:val="004B3338"/>
    <w:rsid w:val="004B7761"/>
    <w:rsid w:val="004D0101"/>
    <w:rsid w:val="004D1217"/>
    <w:rsid w:val="004D6008"/>
    <w:rsid w:val="004E34EF"/>
    <w:rsid w:val="004E3D69"/>
    <w:rsid w:val="004F028F"/>
    <w:rsid w:val="004F5374"/>
    <w:rsid w:val="00507EE5"/>
    <w:rsid w:val="0051294F"/>
    <w:rsid w:val="00512DC1"/>
    <w:rsid w:val="00530C94"/>
    <w:rsid w:val="00547110"/>
    <w:rsid w:val="00562381"/>
    <w:rsid w:val="00562B79"/>
    <w:rsid w:val="00572734"/>
    <w:rsid w:val="005B6B1D"/>
    <w:rsid w:val="005E7902"/>
    <w:rsid w:val="005F0914"/>
    <w:rsid w:val="0060624B"/>
    <w:rsid w:val="0060650B"/>
    <w:rsid w:val="00633D32"/>
    <w:rsid w:val="00634F5D"/>
    <w:rsid w:val="00640125"/>
    <w:rsid w:val="00640794"/>
    <w:rsid w:val="00680B8C"/>
    <w:rsid w:val="006E20F0"/>
    <w:rsid w:val="006F1772"/>
    <w:rsid w:val="00714D39"/>
    <w:rsid w:val="00741224"/>
    <w:rsid w:val="00755F51"/>
    <w:rsid w:val="00794727"/>
    <w:rsid w:val="00794CE5"/>
    <w:rsid w:val="007D0FCC"/>
    <w:rsid w:val="007D4A3D"/>
    <w:rsid w:val="0080665D"/>
    <w:rsid w:val="00825E27"/>
    <w:rsid w:val="008942E7"/>
    <w:rsid w:val="008A1204"/>
    <w:rsid w:val="008B16BF"/>
    <w:rsid w:val="008C170A"/>
    <w:rsid w:val="008D7162"/>
    <w:rsid w:val="008E45A8"/>
    <w:rsid w:val="00900CCA"/>
    <w:rsid w:val="00900ED0"/>
    <w:rsid w:val="00914DE7"/>
    <w:rsid w:val="00924B77"/>
    <w:rsid w:val="00940DA2"/>
    <w:rsid w:val="00963F88"/>
    <w:rsid w:val="00964950"/>
    <w:rsid w:val="0097061B"/>
    <w:rsid w:val="009A357A"/>
    <w:rsid w:val="009B4F49"/>
    <w:rsid w:val="009E055C"/>
    <w:rsid w:val="00A1547E"/>
    <w:rsid w:val="00A50AF4"/>
    <w:rsid w:val="00A6108F"/>
    <w:rsid w:val="00A74F6F"/>
    <w:rsid w:val="00A94277"/>
    <w:rsid w:val="00AA1FDF"/>
    <w:rsid w:val="00AC3D99"/>
    <w:rsid w:val="00AD307C"/>
    <w:rsid w:val="00AD7557"/>
    <w:rsid w:val="00B04AE3"/>
    <w:rsid w:val="00B05552"/>
    <w:rsid w:val="00B11332"/>
    <w:rsid w:val="00B142EE"/>
    <w:rsid w:val="00B50C5D"/>
    <w:rsid w:val="00B51253"/>
    <w:rsid w:val="00B525CC"/>
    <w:rsid w:val="00B63F9F"/>
    <w:rsid w:val="00B8779E"/>
    <w:rsid w:val="00BA3DBD"/>
    <w:rsid w:val="00BC1530"/>
    <w:rsid w:val="00BF4297"/>
    <w:rsid w:val="00C002A8"/>
    <w:rsid w:val="00C00839"/>
    <w:rsid w:val="00C261B8"/>
    <w:rsid w:val="00C4007D"/>
    <w:rsid w:val="00C470A6"/>
    <w:rsid w:val="00C61C9F"/>
    <w:rsid w:val="00C7049E"/>
    <w:rsid w:val="00C83B53"/>
    <w:rsid w:val="00C84933"/>
    <w:rsid w:val="00C86932"/>
    <w:rsid w:val="00CB033A"/>
    <w:rsid w:val="00CD49B3"/>
    <w:rsid w:val="00CD52F1"/>
    <w:rsid w:val="00D404F2"/>
    <w:rsid w:val="00D46E3A"/>
    <w:rsid w:val="00D47F7A"/>
    <w:rsid w:val="00D73A48"/>
    <w:rsid w:val="00D77150"/>
    <w:rsid w:val="00D856E7"/>
    <w:rsid w:val="00D9474F"/>
    <w:rsid w:val="00DF4E38"/>
    <w:rsid w:val="00E03450"/>
    <w:rsid w:val="00E13363"/>
    <w:rsid w:val="00E25228"/>
    <w:rsid w:val="00E4537D"/>
    <w:rsid w:val="00E607E6"/>
    <w:rsid w:val="00E714D5"/>
    <w:rsid w:val="00E74D6E"/>
    <w:rsid w:val="00E76939"/>
    <w:rsid w:val="00ED1A1F"/>
    <w:rsid w:val="00ED3FF0"/>
    <w:rsid w:val="00EF03ED"/>
    <w:rsid w:val="00F00F05"/>
    <w:rsid w:val="00F01073"/>
    <w:rsid w:val="00F20F09"/>
    <w:rsid w:val="00F3669C"/>
    <w:rsid w:val="00F37DC1"/>
    <w:rsid w:val="00F40458"/>
    <w:rsid w:val="00F42F65"/>
    <w:rsid w:val="00F468ED"/>
    <w:rsid w:val="00F54DD0"/>
    <w:rsid w:val="00F96FE7"/>
    <w:rsid w:val="00FA0061"/>
    <w:rsid w:val="00FB595D"/>
    <w:rsid w:val="00FB5E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79D00B"/>
  <w15:chartTrackingRefBased/>
  <w15:docId w15:val="{CA45F703-F899-4FEB-B9A6-CF8558CE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8D7162"/>
    <w:pPr>
      <w:spacing w:line="240" w:lineRule="exact"/>
      <w:ind w:left="720"/>
      <w:contextualSpacing/>
    </w:pPr>
  </w:style>
  <w:style w:type="character" w:styleId="Collegamentoipertestuale">
    <w:name w:val="Hyperlink"/>
    <w:basedOn w:val="Carpredefinitoparagrafo"/>
    <w:rsid w:val="00AC3D99"/>
    <w:rPr>
      <w:color w:val="0563C1" w:themeColor="hyperlink"/>
      <w:u w:val="single"/>
    </w:rPr>
  </w:style>
  <w:style w:type="paragraph" w:styleId="Testonotaapidipagina">
    <w:name w:val="footnote text"/>
    <w:basedOn w:val="Normale"/>
    <w:link w:val="TestonotaapidipaginaCarattere"/>
    <w:rsid w:val="00386728"/>
    <w:pPr>
      <w:spacing w:line="240" w:lineRule="auto"/>
    </w:pPr>
    <w:rPr>
      <w:szCs w:val="20"/>
    </w:rPr>
  </w:style>
  <w:style w:type="character" w:customStyle="1" w:styleId="TestonotaapidipaginaCarattere">
    <w:name w:val="Testo nota a piè di pagina Carattere"/>
    <w:basedOn w:val="Carpredefinitoparagrafo"/>
    <w:link w:val="Testonotaapidipagina"/>
    <w:rsid w:val="00386728"/>
  </w:style>
  <w:style w:type="character" w:styleId="Rimandonotaapidipagina">
    <w:name w:val="footnote reference"/>
    <w:basedOn w:val="Carpredefinitoparagrafo"/>
    <w:rsid w:val="00386728"/>
    <w:rPr>
      <w:vertAlign w:val="superscript"/>
    </w:rPr>
  </w:style>
  <w:style w:type="character" w:styleId="Menzionenonrisolta">
    <w:name w:val="Unresolved Mention"/>
    <w:basedOn w:val="Carpredefinitoparagrafo"/>
    <w:uiPriority w:val="99"/>
    <w:semiHidden/>
    <w:unhideWhenUsed/>
    <w:rsid w:val="00386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54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ferdinando-colombo/rischio-informazione-equilibrio-esercizi-di-economia-finanziaria-9791221106701-732968.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2316f51-825c-44dc-8dce-1664cf6331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2174AC2506C4540A03F538E9248C1E1" ma:contentTypeVersion="18" ma:contentTypeDescription="Creare un nuovo documento." ma:contentTypeScope="" ma:versionID="8e148319e0394a347e326ad0effc38e6">
  <xsd:schema xmlns:xsd="http://www.w3.org/2001/XMLSchema" xmlns:xs="http://www.w3.org/2001/XMLSchema" xmlns:p="http://schemas.microsoft.com/office/2006/metadata/properties" xmlns:ns3="62f0d1bc-39e5-47a4-8aa0-be6508351e82" xmlns:ns4="22316f51-825c-44dc-8dce-1664cf6331b3" targetNamespace="http://schemas.microsoft.com/office/2006/metadata/properties" ma:root="true" ma:fieldsID="6c65f3ceeb25ed3b31070bb42a1f268b" ns3:_="" ns4:_="">
    <xsd:import namespace="62f0d1bc-39e5-47a4-8aa0-be6508351e82"/>
    <xsd:import namespace="22316f51-825c-44dc-8dce-1664cf6331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LengthInSeconds" minOccurs="0"/>
                <xsd:element ref="ns4:MediaServiceLocation"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0d1bc-39e5-47a4-8aa0-be6508351e82"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316f51-825c-44dc-8dce-1664cf6331b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BB3A5-EF01-466E-97FA-FBFBA2F354B1}">
  <ds:schemaRefs>
    <ds:schemaRef ds:uri="http://schemas.microsoft.com/sharepoint/v3/contenttype/forms"/>
  </ds:schemaRefs>
</ds:datastoreItem>
</file>

<file path=customXml/itemProps2.xml><?xml version="1.0" encoding="utf-8"?>
<ds:datastoreItem xmlns:ds="http://schemas.openxmlformats.org/officeDocument/2006/customXml" ds:itemID="{27CD74DB-4720-40D3-B5C7-814D07E32AB9}">
  <ds:schemaRefs>
    <ds:schemaRef ds:uri="http://schemas.microsoft.com/office/2006/metadata/properties"/>
    <ds:schemaRef ds:uri="http://schemas.microsoft.com/office/infopath/2007/PartnerControls"/>
    <ds:schemaRef ds:uri="22316f51-825c-44dc-8dce-1664cf6331b3"/>
  </ds:schemaRefs>
</ds:datastoreItem>
</file>

<file path=customXml/itemProps3.xml><?xml version="1.0" encoding="utf-8"?>
<ds:datastoreItem xmlns:ds="http://schemas.openxmlformats.org/officeDocument/2006/customXml" ds:itemID="{99B845B9-594E-42E8-966B-A1E5E18374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0d1bc-39e5-47a4-8aa0-be6508351e82"/>
    <ds:schemaRef ds:uri="22316f51-825c-44dc-8dce-1664cf6331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BF49B3-C656-4223-A455-DDE84F12D293}">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4</Pages>
  <Words>1355</Words>
  <Characters>7728</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3</cp:revision>
  <cp:lastPrinted>2003-03-27T10:42:00Z</cp:lastPrinted>
  <dcterms:created xsi:type="dcterms:W3CDTF">2026-06-02T15:36:00Z</dcterms:created>
  <dcterms:modified xsi:type="dcterms:W3CDTF">2026-07-15T08:39:00Z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0x01010032174AC2506C4540A03F538E9248C1E1</vt:lpwstr>
  </property>
</Properties>
</file>