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9D03E9" w14:textId="0ED83C0D" w:rsidR="002D5E17" w:rsidRDefault="00906A9B" w:rsidP="002D5E17">
      <w:pPr>
        <w:pStyle w:val="Titolo1"/>
      </w:pPr>
      <w:r>
        <w:t>Strategia e politica aziendale (Management)</w:t>
      </w:r>
    </w:p>
    <w:p w14:paraId="2F4E3B79" w14:textId="2D2AA54F" w:rsidR="00906A9B" w:rsidRDefault="00906A9B" w:rsidP="00906A9B">
      <w:pPr>
        <w:pStyle w:val="Titolo2"/>
      </w:pPr>
      <w:r>
        <w:t>Prof.ssa Donatella Depperu; Prof. Luigi Geppert</w:t>
      </w:r>
    </w:p>
    <w:p w14:paraId="314A939D" w14:textId="77777777" w:rsidR="005F17A5" w:rsidRDefault="005F17A5" w:rsidP="005F17A5">
      <w:pPr>
        <w:spacing w:before="240" w:after="120"/>
        <w:rPr>
          <w:b/>
          <w:i/>
          <w:sz w:val="18"/>
        </w:rPr>
      </w:pPr>
      <w:r>
        <w:rPr>
          <w:b/>
          <w:i/>
          <w:sz w:val="18"/>
        </w:rPr>
        <w:t>OBIETTIVO DEL CORSO E RISULTATI DI APPRENDIMENTO ATTESI</w:t>
      </w:r>
    </w:p>
    <w:p w14:paraId="2D25F1C8" w14:textId="77777777" w:rsidR="00DD6588" w:rsidRDefault="00DD6588" w:rsidP="00DD6588">
      <w:r>
        <w:t>L’insegnamento si propone di trasmettere agli studenti metodologie e strumenti per comprendere ed essere preparati a intervenire nelle diverse fasi del processo strategico, dalla valutazione della strategia attuale sino alla realizzazione e controllo di una nuova strategia. Nel conseguimento di tale obiettivo, nel modulo I si affrontano nel dettaglio le questioni di management, gli strumenti e i modelli relativi alle diverse fasi del processo strategico; nel modulo II si approfondisce l’approccio della system dynamics alla strategia aziendale, con particolare attenzione alla complessità dinamica e ai modelli di simulazione.</w:t>
      </w:r>
    </w:p>
    <w:p w14:paraId="23B95828" w14:textId="77777777" w:rsidR="00DD6588" w:rsidRDefault="00DD6588" w:rsidP="00DD6588">
      <w:r>
        <w:t>Al termine del corso lo studente sarà in grado di:</w:t>
      </w:r>
    </w:p>
    <w:p w14:paraId="1877A97C" w14:textId="77777777" w:rsidR="00DD6588" w:rsidRDefault="00DD6588" w:rsidP="00DD6588">
      <w:pPr>
        <w:numPr>
          <w:ilvl w:val="0"/>
          <w:numId w:val="1"/>
        </w:numPr>
        <w:tabs>
          <w:tab w:val="clear" w:pos="284"/>
        </w:tabs>
        <w:spacing w:after="120" w:line="240" w:lineRule="auto"/>
      </w:pPr>
      <w:r>
        <w:t>individuare quali strumenti utilizzare nelle diverse fasi del processo strategico al fine di contribuire al conseguimento delle finalità e degli obiettivi aziendali;</w:t>
      </w:r>
    </w:p>
    <w:p w14:paraId="41ADC14E" w14:textId="77777777" w:rsidR="00DD6588" w:rsidRDefault="00DD6588" w:rsidP="00DD6588">
      <w:pPr>
        <w:numPr>
          <w:ilvl w:val="0"/>
          <w:numId w:val="1"/>
        </w:numPr>
        <w:tabs>
          <w:tab w:val="clear" w:pos="284"/>
        </w:tabs>
        <w:spacing w:after="120" w:line="240" w:lineRule="auto"/>
      </w:pPr>
      <w:r>
        <w:t>individuare i rischi che caratterizzano ciascuna fase, cercando soluzioni adeguate al loro superamento;</w:t>
      </w:r>
    </w:p>
    <w:p w14:paraId="41DD9D36" w14:textId="77777777" w:rsidR="00DD6588" w:rsidRDefault="00DD6588" w:rsidP="00DD6588">
      <w:pPr>
        <w:numPr>
          <w:ilvl w:val="0"/>
          <w:numId w:val="1"/>
        </w:numPr>
        <w:tabs>
          <w:tab w:val="clear" w:pos="284"/>
        </w:tabs>
        <w:spacing w:after="120" w:line="240" w:lineRule="auto"/>
      </w:pPr>
      <w:r>
        <w:t>porre domande per l’individuazione dei problemi, dei rischi e delle opportunità relative al processo strategico in diversi tipi di azienda, dalle grandi multinazionali alle imprese di piccole e medie dimensioni, tenendo conto anche delle caratteristiche dei settori di appartenenza;</w:t>
      </w:r>
    </w:p>
    <w:p w14:paraId="6DE4EC38" w14:textId="77777777" w:rsidR="00DD6588" w:rsidRDefault="00DD6588" w:rsidP="00DD6588">
      <w:pPr>
        <w:numPr>
          <w:ilvl w:val="0"/>
          <w:numId w:val="1"/>
        </w:numPr>
        <w:tabs>
          <w:tab w:val="clear" w:pos="284"/>
        </w:tabs>
        <w:spacing w:after="120" w:line="240" w:lineRule="auto"/>
      </w:pPr>
      <w:r>
        <w:t>migliorare il processo di analisi e valutazione della strategia aziendale e delle politiche di business nel tempo;</w:t>
      </w:r>
    </w:p>
    <w:p w14:paraId="024704C0" w14:textId="77777777" w:rsidR="00DD6588" w:rsidRDefault="00DD6588" w:rsidP="00DD6588">
      <w:pPr>
        <w:numPr>
          <w:ilvl w:val="0"/>
          <w:numId w:val="1"/>
        </w:numPr>
        <w:tabs>
          <w:tab w:val="clear" w:pos="284"/>
        </w:tabs>
        <w:spacing w:after="120" w:line="240" w:lineRule="auto"/>
      </w:pPr>
      <w:r>
        <w:t>comprendere la complessità attraverso le dinamiche contro-intuitive;</w:t>
      </w:r>
    </w:p>
    <w:p w14:paraId="798DFC82" w14:textId="77777777" w:rsidR="00DD6588" w:rsidRDefault="00DD6588" w:rsidP="00DD6588">
      <w:pPr>
        <w:numPr>
          <w:ilvl w:val="0"/>
          <w:numId w:val="1"/>
        </w:numPr>
        <w:tabs>
          <w:tab w:val="clear" w:pos="284"/>
        </w:tabs>
        <w:spacing w:after="120" w:line="240" w:lineRule="auto"/>
      </w:pPr>
      <w:r>
        <w:t>costruire, almeno qualitativamente, opportuni micromondi dinamici (modelli di simulazione dinamica) che rappresentano altrettante situazioni per cui la “giusta” decisione manageriale diventa il fattore critico di successo;</w:t>
      </w:r>
    </w:p>
    <w:p w14:paraId="00C522AB" w14:textId="25A15CD5" w:rsidR="005F17A5" w:rsidRDefault="00DD6588" w:rsidP="00DD6588">
      <w:pPr>
        <w:numPr>
          <w:ilvl w:val="0"/>
          <w:numId w:val="1"/>
        </w:numPr>
        <w:tabs>
          <w:tab w:val="clear" w:pos="284"/>
        </w:tabs>
        <w:spacing w:after="120" w:line="240" w:lineRule="auto"/>
      </w:pPr>
      <w:r>
        <w:t>utilizzare i paradigmi metodologici del Systems Thinking e della System Dynamics per l’analisi dell’evoluzione nel tempo della strategia aziendale e per l’esecuzione di eventuali stress test dinamici.</w:t>
      </w:r>
    </w:p>
    <w:p w14:paraId="150DBE96" w14:textId="77777777" w:rsidR="005F17A5" w:rsidRDefault="005F17A5" w:rsidP="005F17A5">
      <w:pPr>
        <w:spacing w:before="240" w:after="120"/>
        <w:rPr>
          <w:b/>
          <w:i/>
          <w:sz w:val="18"/>
        </w:rPr>
      </w:pPr>
      <w:r>
        <w:rPr>
          <w:b/>
          <w:i/>
          <w:sz w:val="18"/>
        </w:rPr>
        <w:t>PROGRAMMA DEL CORSO</w:t>
      </w:r>
    </w:p>
    <w:p w14:paraId="65EF5FD6" w14:textId="77777777" w:rsidR="00DD6588" w:rsidRDefault="00DD6588" w:rsidP="00DD6588">
      <w:r>
        <w:t>L’insegnamento si articola in due moduli.</w:t>
      </w:r>
    </w:p>
    <w:p w14:paraId="497C2F84" w14:textId="77777777" w:rsidR="00DD6588" w:rsidRDefault="00DD6588" w:rsidP="00DD6588">
      <w:pPr>
        <w:spacing w:before="160"/>
      </w:pPr>
      <w:r>
        <w:rPr>
          <w:i/>
          <w:iCs/>
        </w:rPr>
        <w:lastRenderedPageBreak/>
        <w:t>I Modulo — Prof.ssa Donatella Depperu</w:t>
      </w:r>
    </w:p>
    <w:p w14:paraId="3C37AC7A" w14:textId="77777777" w:rsidR="00DD6588" w:rsidRDefault="00DD6588" w:rsidP="00DD6588">
      <w:r>
        <w:t>Il modulo I è organizzato attorno al processo strategico, quindi alle fasi che vanno dall’individuazione dei problemi strategici sino allo sviluppo, alla realizzazione e al controllo di una strategia aziendale. L’approccio è sia teorico che operativo, richiamando frequentemente le prassi manageriali, anche grazie a testimonianze di manager e consulenti di direzione. Per ciascun argomento ci si focalizza su teorie, modelli e strumenti di riferimento e fonti di informazioni, affiancando alle lezioni discussioni di gruppo e plenarie, presentazioni degli studenti e richiami alle prassi aziendali.</w:t>
      </w:r>
    </w:p>
    <w:p w14:paraId="3EE08FC6" w14:textId="77777777" w:rsidR="00DD6588" w:rsidRDefault="00DD6588" w:rsidP="00DD6588">
      <w:r>
        <w:t>In particolare, si affrontano i seguenti argomenti:</w:t>
      </w:r>
    </w:p>
    <w:p w14:paraId="47F87566" w14:textId="77777777" w:rsidR="00DD6588" w:rsidRDefault="00DD6588" w:rsidP="00DD6588">
      <w:pPr>
        <w:numPr>
          <w:ilvl w:val="0"/>
          <w:numId w:val="1"/>
        </w:numPr>
        <w:tabs>
          <w:tab w:val="clear" w:pos="284"/>
        </w:tabs>
        <w:spacing w:after="120" w:line="240" w:lineRule="auto"/>
      </w:pPr>
      <w:r>
        <w:t>La mappatura e il profilo del processo strategico;</w:t>
      </w:r>
    </w:p>
    <w:p w14:paraId="21BC950F" w14:textId="77777777" w:rsidR="00DD6588" w:rsidRDefault="00DD6588" w:rsidP="00DD6588">
      <w:pPr>
        <w:numPr>
          <w:ilvl w:val="0"/>
          <w:numId w:val="1"/>
        </w:numPr>
        <w:tabs>
          <w:tab w:val="clear" w:pos="284"/>
        </w:tabs>
        <w:spacing w:after="120" w:line="240" w:lineRule="auto"/>
      </w:pPr>
      <w:r>
        <w:t>L’individuazione dei gap e dei fabbisogni strategici;</w:t>
      </w:r>
    </w:p>
    <w:p w14:paraId="5AAF3378" w14:textId="77777777" w:rsidR="00DD6588" w:rsidRDefault="00DD6588" w:rsidP="00DD6588">
      <w:pPr>
        <w:numPr>
          <w:ilvl w:val="0"/>
          <w:numId w:val="1"/>
        </w:numPr>
        <w:tabs>
          <w:tab w:val="clear" w:pos="284"/>
        </w:tabs>
        <w:spacing w:after="120" w:line="240" w:lineRule="auto"/>
      </w:pPr>
      <w:r>
        <w:t>Lo sviluppo, la valutazione, la scelta delle alternative strategiche;</w:t>
      </w:r>
    </w:p>
    <w:p w14:paraId="0E566654" w14:textId="77777777" w:rsidR="00DD6588" w:rsidRDefault="00DD6588" w:rsidP="00DD6588">
      <w:pPr>
        <w:numPr>
          <w:ilvl w:val="0"/>
          <w:numId w:val="1"/>
        </w:numPr>
        <w:tabs>
          <w:tab w:val="clear" w:pos="284"/>
        </w:tabs>
        <w:spacing w:after="120" w:line="240" w:lineRule="auto"/>
      </w:pPr>
      <w:r>
        <w:t>La strumentazione per l’analisi dell’ambiente e per l’analisi interna;</w:t>
      </w:r>
    </w:p>
    <w:p w14:paraId="23A04EED" w14:textId="77777777" w:rsidR="00DD6588" w:rsidRDefault="00DD6588" w:rsidP="00DD6588">
      <w:pPr>
        <w:numPr>
          <w:ilvl w:val="0"/>
          <w:numId w:val="1"/>
        </w:numPr>
        <w:tabs>
          <w:tab w:val="clear" w:pos="284"/>
        </w:tabs>
        <w:spacing w:after="120" w:line="240" w:lineRule="auto"/>
      </w:pPr>
      <w:r>
        <w:t>Gli output del processo strategico;</w:t>
      </w:r>
    </w:p>
    <w:p w14:paraId="5800AC98" w14:textId="77777777" w:rsidR="00DD6588" w:rsidRDefault="00DD6588" w:rsidP="00DD6588">
      <w:pPr>
        <w:numPr>
          <w:ilvl w:val="0"/>
          <w:numId w:val="1"/>
        </w:numPr>
        <w:tabs>
          <w:tab w:val="clear" w:pos="284"/>
        </w:tabs>
        <w:spacing w:after="120" w:line="240" w:lineRule="auto"/>
      </w:pPr>
      <w:r>
        <w:t xml:space="preserve">La strategy </w:t>
      </w:r>
      <w:proofErr w:type="spellStart"/>
      <w:r>
        <w:t>execution</w:t>
      </w:r>
      <w:proofErr w:type="spellEnd"/>
      <w:r>
        <w:t>;</w:t>
      </w:r>
    </w:p>
    <w:p w14:paraId="2CEA1C89" w14:textId="77777777" w:rsidR="00DD6588" w:rsidRDefault="00DD6588" w:rsidP="00DD6588">
      <w:pPr>
        <w:numPr>
          <w:ilvl w:val="0"/>
          <w:numId w:val="1"/>
        </w:numPr>
        <w:tabs>
          <w:tab w:val="clear" w:pos="284"/>
        </w:tabs>
        <w:spacing w:after="120" w:line="240" w:lineRule="auto"/>
      </w:pPr>
      <w:r>
        <w:t>Le strategie data-</w:t>
      </w:r>
      <w:proofErr w:type="spellStart"/>
      <w:r>
        <w:t>driven</w:t>
      </w:r>
      <w:proofErr w:type="spellEnd"/>
      <w:r>
        <w:t xml:space="preserve"> e l’uso dell’IA nel processo strategico.</w:t>
      </w:r>
    </w:p>
    <w:p w14:paraId="665D8B6A" w14:textId="77777777" w:rsidR="00DD6588" w:rsidRDefault="00DD6588" w:rsidP="00DD6588">
      <w:pPr>
        <w:spacing w:before="160"/>
      </w:pPr>
      <w:r>
        <w:rPr>
          <w:i/>
          <w:iCs/>
        </w:rPr>
        <w:t>II Modulo — Prof. Luigi Geppert</w:t>
      </w:r>
    </w:p>
    <w:p w14:paraId="2DBA537A" w14:textId="77777777" w:rsidR="00DD6588" w:rsidRDefault="00DD6588" w:rsidP="00DD6588">
      <w:r>
        <w:t>Il modulo II, concepito per la presentazione di tecniche applicative a supporto della strategia aziendale, fornisce una breve introduzione alla modellazione dinamica dei sistemi e si focalizza successivamente sulla realizzazione di opportuni modelli dinamici (micromondi) che esemplificano situazioni manageriali ricorrenti. La presentazione di casi aziendali contiene l’applicazione degli strumenti e dei metodi presentati. Compatibilmente con il tempo a disposizione, vengono dedicate alcune ore alle esercitazioni.</w:t>
      </w:r>
    </w:p>
    <w:p w14:paraId="60212D5C" w14:textId="77777777" w:rsidR="00DD6588" w:rsidRDefault="00DD6588" w:rsidP="00DD6588">
      <w:r>
        <w:t>In particolare, gli argomenti trattati riguardano:</w:t>
      </w:r>
    </w:p>
    <w:p w14:paraId="73D60B8B" w14:textId="77777777" w:rsidR="00DD6588" w:rsidRDefault="00DD6588" w:rsidP="00DD6588">
      <w:pPr>
        <w:numPr>
          <w:ilvl w:val="0"/>
          <w:numId w:val="1"/>
        </w:numPr>
        <w:tabs>
          <w:tab w:val="clear" w:pos="284"/>
        </w:tabs>
        <w:spacing w:after="120" w:line="240" w:lineRule="auto"/>
      </w:pPr>
      <w:r>
        <w:t xml:space="preserve">La definizione e rappresentazione dei sistemi complessi: la Policy </w:t>
      </w:r>
      <w:proofErr w:type="spellStart"/>
      <w:r>
        <w:t>Resistance</w:t>
      </w:r>
      <w:proofErr w:type="spellEnd"/>
      <w:r>
        <w:t>;</w:t>
      </w:r>
    </w:p>
    <w:p w14:paraId="7585CDA0" w14:textId="77777777" w:rsidR="00DD6588" w:rsidRDefault="00DD6588" w:rsidP="00DD6588">
      <w:pPr>
        <w:numPr>
          <w:ilvl w:val="0"/>
          <w:numId w:val="1"/>
        </w:numPr>
        <w:tabs>
          <w:tab w:val="clear" w:pos="284"/>
        </w:tabs>
        <w:spacing w:after="120" w:line="240" w:lineRule="auto"/>
      </w:pPr>
      <w:r>
        <w:t>I modi elementari di comportamento dinamico;</w:t>
      </w:r>
    </w:p>
    <w:p w14:paraId="292E7653" w14:textId="77777777" w:rsidR="00DD6588" w:rsidRDefault="00DD6588" w:rsidP="00DD6588">
      <w:pPr>
        <w:numPr>
          <w:ilvl w:val="0"/>
          <w:numId w:val="1"/>
        </w:numPr>
        <w:tabs>
          <w:tab w:val="clear" w:pos="284"/>
        </w:tabs>
        <w:spacing w:after="120" w:line="240" w:lineRule="auto"/>
      </w:pPr>
      <w:r>
        <w:t>i diagrammi circolari causali;</w:t>
      </w:r>
    </w:p>
    <w:p w14:paraId="767E2A16" w14:textId="77777777" w:rsidR="00DD6588" w:rsidRDefault="00DD6588" w:rsidP="00DD6588">
      <w:pPr>
        <w:numPr>
          <w:ilvl w:val="0"/>
          <w:numId w:val="1"/>
        </w:numPr>
        <w:tabs>
          <w:tab w:val="clear" w:pos="284"/>
        </w:tabs>
        <w:spacing w:after="120" w:line="240" w:lineRule="auto"/>
      </w:pPr>
      <w:r>
        <w:t>i diagrammi livelli e flussi;</w:t>
      </w:r>
    </w:p>
    <w:p w14:paraId="61218953" w14:textId="77777777" w:rsidR="00DD6588" w:rsidRDefault="00DD6588" w:rsidP="00DD6588">
      <w:pPr>
        <w:numPr>
          <w:ilvl w:val="0"/>
          <w:numId w:val="1"/>
        </w:numPr>
        <w:tabs>
          <w:tab w:val="clear" w:pos="284"/>
        </w:tabs>
        <w:spacing w:after="120" w:line="240" w:lineRule="auto"/>
      </w:pPr>
      <w:r>
        <w:t>Esempi di applicazione e stress test;</w:t>
      </w:r>
    </w:p>
    <w:p w14:paraId="5E9E0E64" w14:textId="77777777" w:rsidR="00DD6588" w:rsidRDefault="00DD6588" w:rsidP="00DD6588">
      <w:pPr>
        <w:numPr>
          <w:ilvl w:val="0"/>
          <w:numId w:val="1"/>
        </w:numPr>
        <w:tabs>
          <w:tab w:val="clear" w:pos="284"/>
        </w:tabs>
        <w:spacing w:after="120" w:line="240" w:lineRule="auto"/>
      </w:pPr>
      <w:r>
        <w:t>Casi aziendali.</w:t>
      </w:r>
    </w:p>
    <w:p w14:paraId="4B553E15" w14:textId="06EA21CB" w:rsidR="005F17A5" w:rsidRDefault="005F17A5" w:rsidP="005F17A5">
      <w:pPr>
        <w:keepNext/>
        <w:spacing w:before="240" w:after="120"/>
        <w:rPr>
          <w:b/>
          <w:i/>
          <w:sz w:val="18"/>
        </w:rPr>
      </w:pPr>
      <w:r>
        <w:rPr>
          <w:b/>
          <w:i/>
          <w:sz w:val="18"/>
        </w:rPr>
        <w:lastRenderedPageBreak/>
        <w:t>BIBLIOGRAFIA</w:t>
      </w:r>
      <w:r w:rsidR="00550154">
        <w:rPr>
          <w:rStyle w:val="Rimandonotaapidipagina"/>
          <w:b/>
          <w:i/>
          <w:sz w:val="18"/>
        </w:rPr>
        <w:footnoteReference w:id="1"/>
      </w:r>
    </w:p>
    <w:p w14:paraId="5FE36322" w14:textId="77777777" w:rsidR="00DD6588" w:rsidRPr="00DD6588" w:rsidRDefault="00DD6588" w:rsidP="00DD6588">
      <w:pPr>
        <w:pStyle w:val="Testo2"/>
        <w:rPr>
          <w:i/>
          <w:iCs/>
        </w:rPr>
      </w:pPr>
      <w:r w:rsidRPr="00DD6588">
        <w:rPr>
          <w:i/>
          <w:iCs/>
        </w:rPr>
        <w:t>Per il modulo I:</w:t>
      </w:r>
    </w:p>
    <w:p w14:paraId="315EF94D" w14:textId="1BDCF1A8" w:rsidR="00DD6588" w:rsidRDefault="00DD6588" w:rsidP="00DD6588">
      <w:pPr>
        <w:pStyle w:val="Testo2"/>
      </w:pPr>
      <w:r>
        <w:t xml:space="preserve">Depperu D., </w:t>
      </w:r>
      <w:r>
        <w:rPr>
          <w:i/>
          <w:iCs/>
        </w:rPr>
        <w:t>Il processo strategico</w:t>
      </w:r>
      <w:r>
        <w:t>, Vita &amp; Pensiero, 2024.</w:t>
      </w:r>
      <w:r w:rsidR="00550154">
        <w:t xml:space="preserve"> </w:t>
      </w:r>
      <w:bookmarkStart w:id="0" w:name="_Hlk170391661"/>
      <w:r w:rsidR="00550154">
        <w:rPr>
          <w:rFonts w:ascii="Times New Roman" w:hAnsi="Times New Roman"/>
          <w:i/>
          <w:color w:val="0070C0"/>
          <w:szCs w:val="18"/>
        </w:rPr>
        <w:fldChar w:fldCharType="begin"/>
      </w:r>
      <w:r w:rsidR="00550154">
        <w:rPr>
          <w:rFonts w:ascii="Times New Roman" w:hAnsi="Times New Roman"/>
          <w:i/>
          <w:color w:val="0070C0"/>
          <w:szCs w:val="18"/>
        </w:rPr>
        <w:instrText>HYPERLINK "https://librerie.unicatt.it/scheda-libro/donatella-depperu/il-processo-strategico-dalla-vision-alla-strategy-execution-9788834357675-734710.html"</w:instrText>
      </w:r>
      <w:r w:rsidR="00550154">
        <w:rPr>
          <w:rFonts w:ascii="Times New Roman" w:hAnsi="Times New Roman"/>
          <w:i/>
          <w:color w:val="0070C0"/>
          <w:szCs w:val="18"/>
        </w:rPr>
      </w:r>
      <w:r w:rsidR="00550154">
        <w:rPr>
          <w:rFonts w:ascii="Times New Roman" w:hAnsi="Times New Roman"/>
          <w:i/>
          <w:color w:val="0070C0"/>
          <w:szCs w:val="18"/>
        </w:rPr>
        <w:fldChar w:fldCharType="separate"/>
      </w:r>
      <w:r w:rsidR="00550154" w:rsidRPr="00550154">
        <w:rPr>
          <w:rStyle w:val="Collegamentoipertestuale"/>
          <w:rFonts w:ascii="Times New Roman" w:hAnsi="Times New Roman"/>
          <w:i/>
          <w:szCs w:val="18"/>
        </w:rPr>
        <w:t>Acquista da VP</w:t>
      </w:r>
      <w:bookmarkEnd w:id="0"/>
      <w:r w:rsidR="00550154">
        <w:rPr>
          <w:rFonts w:ascii="Times New Roman" w:hAnsi="Times New Roman"/>
          <w:i/>
          <w:color w:val="0070C0"/>
          <w:szCs w:val="18"/>
        </w:rPr>
        <w:fldChar w:fldCharType="end"/>
      </w:r>
    </w:p>
    <w:p w14:paraId="238ED2AB" w14:textId="77777777" w:rsidR="00DD6588" w:rsidRDefault="00DD6588" w:rsidP="00DD6588">
      <w:pPr>
        <w:pStyle w:val="Testo2"/>
      </w:pPr>
      <w:r>
        <w:t>Eventuali materiali integrativi saranno indicati o caricati sulla piattaforma Blackboard.</w:t>
      </w:r>
    </w:p>
    <w:p w14:paraId="37B06D27" w14:textId="77777777" w:rsidR="00DD6588" w:rsidRPr="00DD6588" w:rsidRDefault="00DD6588" w:rsidP="00DD6588">
      <w:pPr>
        <w:pStyle w:val="Testo2"/>
        <w:spacing w:before="120"/>
        <w:rPr>
          <w:i/>
          <w:iCs/>
        </w:rPr>
      </w:pPr>
      <w:r w:rsidRPr="00DD6588">
        <w:rPr>
          <w:i/>
          <w:iCs/>
        </w:rPr>
        <w:t>Per il modulo II:</w:t>
      </w:r>
    </w:p>
    <w:p w14:paraId="0658470A" w14:textId="77777777" w:rsidR="00DD6588" w:rsidRDefault="00DD6588" w:rsidP="00DD6588">
      <w:pPr>
        <w:pStyle w:val="Testo2"/>
      </w:pPr>
      <w:r>
        <w:rPr>
          <w:i/>
          <w:iCs/>
        </w:rPr>
        <w:t>Testi necessari e sufficienti per apprendere i contenuti con profitto e per sostenere la prova d’esame:</w:t>
      </w:r>
    </w:p>
    <w:p w14:paraId="03AA0442" w14:textId="77777777" w:rsidR="00DD6588" w:rsidRDefault="00DD6588" w:rsidP="00DD6588">
      <w:pPr>
        <w:pStyle w:val="Testo2"/>
      </w:pPr>
      <w:r>
        <w:t xml:space="preserve">L. Geppert, </w:t>
      </w:r>
      <w:r>
        <w:rPr>
          <w:i/>
          <w:iCs/>
        </w:rPr>
        <w:t>Introduzione alla Dinamica dei Sistemi: concetti generali di modellazione della complessità e applicazioni per la strategia e la gestione aziendale</w:t>
      </w:r>
      <w:r>
        <w:t>, dispense del docente pubblicate in Blackboard, 2011 (Capitoli da 1 a 5).</w:t>
      </w:r>
    </w:p>
    <w:p w14:paraId="2C71FF3E" w14:textId="77777777" w:rsidR="00DD6588" w:rsidRDefault="00DD6588" w:rsidP="00DD6588">
      <w:pPr>
        <w:pStyle w:val="Testo2"/>
      </w:pPr>
      <w:r>
        <w:t xml:space="preserve">L. Geppert, </w:t>
      </w:r>
      <w:r>
        <w:rPr>
          <w:i/>
          <w:iCs/>
        </w:rPr>
        <w:t>Modelli e applicazioni d’esempio</w:t>
      </w:r>
      <w:r>
        <w:t>, modelli software del docente pubblicati in Blackboard, 2011 (per consultazione e approfondimenti).</w:t>
      </w:r>
    </w:p>
    <w:p w14:paraId="068AC2C7" w14:textId="77777777" w:rsidR="00DD6588" w:rsidRDefault="00DD6588" w:rsidP="00DD6588">
      <w:pPr>
        <w:pStyle w:val="Testo2"/>
        <w:spacing w:before="120"/>
      </w:pPr>
      <w:r>
        <w:rPr>
          <w:i/>
          <w:iCs/>
        </w:rPr>
        <w:t>Testi di approfondimento (consigliati ma non necessari per la prova d’esame):</w:t>
      </w:r>
    </w:p>
    <w:p w14:paraId="145F03D1" w14:textId="77777777" w:rsidR="00DD6588" w:rsidRPr="00E0455B" w:rsidRDefault="00DD6588" w:rsidP="00DD6588">
      <w:pPr>
        <w:pStyle w:val="Testo2"/>
        <w:rPr>
          <w:lang w:val="en-GB"/>
        </w:rPr>
      </w:pPr>
      <w:r w:rsidRPr="00E0455B">
        <w:rPr>
          <w:lang w:val="en-GB"/>
        </w:rPr>
        <w:t xml:space="preserve">J. Sterman, </w:t>
      </w:r>
      <w:r w:rsidRPr="00E0455B">
        <w:rPr>
          <w:i/>
          <w:iCs/>
          <w:lang w:val="en-GB"/>
        </w:rPr>
        <w:t>Business Dynamics: Systems Thinking and Modeling for a Complex World</w:t>
      </w:r>
      <w:r w:rsidRPr="00E0455B">
        <w:rPr>
          <w:lang w:val="en-GB"/>
        </w:rPr>
        <w:t>, Irwin McGraw-Hill, 2000. Capitoli da 1 a 10.</w:t>
      </w:r>
    </w:p>
    <w:p w14:paraId="1C223342" w14:textId="77777777" w:rsidR="00DD6588" w:rsidRPr="00E0455B" w:rsidRDefault="00DD6588" w:rsidP="00DD6588">
      <w:pPr>
        <w:pStyle w:val="Testo2"/>
        <w:rPr>
          <w:lang w:val="en-GB"/>
        </w:rPr>
      </w:pPr>
      <w:r w:rsidRPr="00E0455B">
        <w:rPr>
          <w:lang w:val="en-GB"/>
        </w:rPr>
        <w:t xml:space="preserve">P.M. Senge, </w:t>
      </w:r>
      <w:r w:rsidRPr="00E0455B">
        <w:rPr>
          <w:i/>
          <w:iCs/>
          <w:lang w:val="en-GB"/>
        </w:rPr>
        <w:t>The fifth discipline: the art and practice of the learning organization</w:t>
      </w:r>
      <w:r w:rsidRPr="00E0455B">
        <w:rPr>
          <w:lang w:val="en-GB"/>
        </w:rPr>
        <w:t>, DoubleDay, 1994.</w:t>
      </w:r>
    </w:p>
    <w:p w14:paraId="671525A5" w14:textId="77777777" w:rsidR="00DD6588" w:rsidRDefault="00DD6588" w:rsidP="00DD6588">
      <w:pPr>
        <w:pStyle w:val="Testo2"/>
      </w:pPr>
      <w:r>
        <w:t>Durante il corso, a supporto dei concetti presentati nel modulo II, verranno utilizzati alcuni modelli preparati con opportuni software di modellazione dinamica, per esempio: iThink e Stella della iseesystems (www.iseesystems.com) e Vensim PLE della Ventana Systems, scaricabile gratuitamente da www.vensim.com.</w:t>
      </w:r>
    </w:p>
    <w:p w14:paraId="203B914F" w14:textId="77777777" w:rsidR="005F17A5" w:rsidRDefault="005F17A5" w:rsidP="005F17A5">
      <w:pPr>
        <w:spacing w:before="240" w:after="120"/>
        <w:rPr>
          <w:b/>
          <w:i/>
          <w:sz w:val="18"/>
        </w:rPr>
      </w:pPr>
      <w:r>
        <w:rPr>
          <w:b/>
          <w:i/>
          <w:sz w:val="18"/>
        </w:rPr>
        <w:t>DIDATTICA DEL CORSO</w:t>
      </w:r>
    </w:p>
    <w:p w14:paraId="4C85291F" w14:textId="77777777" w:rsidR="0044529A" w:rsidRDefault="0044529A" w:rsidP="0044529A">
      <w:pPr>
        <w:pStyle w:val="Testo2"/>
      </w:pPr>
      <w:r>
        <w:rPr>
          <w:b/>
          <w:bCs/>
        </w:rPr>
        <w:t xml:space="preserve">Modulo I. </w:t>
      </w:r>
      <w:r>
        <w:t>Si adotta una didattica fortemente attiva. Le lezioni frontali, necessarie per l’inquadramento degli argomenti, sono integrate da discussioni su casi pratici, esercizi e testimonianze di manager e consulenti, atte a stimolare ogni singolo studente a essere co-attore del processo di apprendimento. Sono previste anche attività da svolgere in gruppo, in aula e in preparazione delle lezioni. Gli studenti frequentanti avranno la possibilità, su base volontaria, di svolgere un lavoro di gruppo, che verrà valutato.</w:t>
      </w:r>
    </w:p>
    <w:p w14:paraId="2B876D65" w14:textId="77777777" w:rsidR="0044529A" w:rsidRDefault="0044529A" w:rsidP="0044529A">
      <w:pPr>
        <w:pStyle w:val="Testo2"/>
      </w:pPr>
      <w:r>
        <w:rPr>
          <w:b/>
          <w:bCs/>
        </w:rPr>
        <w:t xml:space="preserve">Modulo II. </w:t>
      </w:r>
      <w:r>
        <w:t xml:space="preserve">La didattica si articola su lezioni frontali con esercizi in aula. Durante il corso gli studenti verranno riuniti in gruppi (squadre); a ciascun gruppo sarà affidata l’analisi di un modello già realizzato, da utilizzare come </w:t>
      </w:r>
      <w:r>
        <w:rPr>
          <w:i/>
          <w:iCs/>
        </w:rPr>
        <w:t>business game</w:t>
      </w:r>
      <w:r>
        <w:t xml:space="preserve"> per il raggiungimento di determinati obiettivi attraverso l’opportuna combinazione dinamica di alcune leve di controllo (che rappresentano le decisioni aziendali). A supporto dei concetti presentati, verranno utilizzati modelli preparati con opportuni software di modellazione dinamica.</w:t>
      </w:r>
    </w:p>
    <w:p w14:paraId="057C7B16" w14:textId="77777777" w:rsidR="0044529A" w:rsidRDefault="0044529A" w:rsidP="0044529A">
      <w:pPr>
        <w:pStyle w:val="Testo2"/>
      </w:pPr>
      <w:r>
        <w:t>Si veda con attenzione il calendario analitico disponibile sulla piattaforma Blackboard, dove saranno resi disponibili anche aggiornamenti, indicazioni sulla didattica e materiali di approfondimento.</w:t>
      </w:r>
    </w:p>
    <w:p w14:paraId="284249D5" w14:textId="77777777" w:rsidR="005F17A5" w:rsidRDefault="005F17A5" w:rsidP="005F17A5">
      <w:pPr>
        <w:spacing w:before="240" w:after="120"/>
        <w:rPr>
          <w:b/>
          <w:i/>
          <w:sz w:val="18"/>
        </w:rPr>
      </w:pPr>
      <w:r>
        <w:rPr>
          <w:b/>
          <w:i/>
          <w:sz w:val="18"/>
        </w:rPr>
        <w:lastRenderedPageBreak/>
        <w:t>METODO E CRITERI DI VALUTAZIONE</w:t>
      </w:r>
    </w:p>
    <w:p w14:paraId="45CC5B56" w14:textId="77777777" w:rsidR="0044529A" w:rsidRDefault="0044529A" w:rsidP="0044529A">
      <w:pPr>
        <w:pStyle w:val="Testo2"/>
      </w:pPr>
      <w:r>
        <w:t xml:space="preserve">L’esame è scritto e prevede una prova sul modulo I e una prova sul modulo II da sostenersi nello stesso appello. Non è quindi possibile sostenere l’esame su un modulo in un appello e quello sull’altro in un appello diverso. </w:t>
      </w:r>
    </w:p>
    <w:p w14:paraId="4BD8C7CF" w14:textId="77777777" w:rsidR="0044529A" w:rsidRDefault="0044529A" w:rsidP="0044529A">
      <w:pPr>
        <w:pStyle w:val="Testo2"/>
      </w:pPr>
      <w:r w:rsidRPr="00DB6EE4">
        <w:t>La valutazione globale è la media aritmetica del voto dei moduli 1 e 2, se entrambi i voti sono sufficienti (pari almeno a 18). Se anche solo uno dei voti è insufficiente, il voto finale sarà insufficiente. Se il voto finale non è intero, verrà arrotondato per eccesso se il valore della parte frazionaria è maggiore o uguale a 0,5; altrimenti per difetto.</w:t>
      </w:r>
    </w:p>
    <w:p w14:paraId="56763AAC" w14:textId="77777777" w:rsidR="0044529A" w:rsidRDefault="0044529A" w:rsidP="0044529A">
      <w:pPr>
        <w:pStyle w:val="Testo2"/>
      </w:pPr>
      <w:r w:rsidRPr="00DB6EE4">
        <w:t>Il ritiro durante l’esame, il rifiuto del voto finale o l’insufficienza del voto finale, richiedono la ripetizione completa dell’esame (modulo 1 e 2) e gli eventuali punti ottenuto col business game non sono più utilizzabili.</w:t>
      </w:r>
    </w:p>
    <w:p w14:paraId="262AC474" w14:textId="77777777" w:rsidR="0044529A" w:rsidRDefault="0044529A" w:rsidP="0044529A">
      <w:pPr>
        <w:pStyle w:val="Testo2"/>
      </w:pPr>
      <w:r>
        <w:rPr>
          <w:b/>
          <w:bCs/>
        </w:rPr>
        <w:t>Modulo I:</w:t>
      </w:r>
    </w:p>
    <w:p w14:paraId="51BF6ACF" w14:textId="77777777" w:rsidR="0044529A" w:rsidRDefault="0044529A" w:rsidP="0044529A">
      <w:pPr>
        <w:pStyle w:val="Testo2"/>
      </w:pPr>
      <w:r>
        <w:t xml:space="preserve">L’esame sul modulo I ha ad oggetto tutti i capitoli del testo indicato in bibliografia e i contenuti trattati a lezione, compresi gli esempi, i casi, gli esercizi e gli approfondimenti proposti dal docente e dai testimoni in aula. La prova scritta si compone di domande chiuse </w:t>
      </w:r>
      <w:r w:rsidRPr="004C24E2">
        <w:rPr>
          <w:i/>
          <w:iCs/>
        </w:rPr>
        <w:t>multiple choice</w:t>
      </w:r>
      <w:r>
        <w:t xml:space="preserve"> (del peso di 1 o 2 punti) e di domande aperte. Le domande aperte (normalmente di peso di almeno pari a 3 punti) possono riguardare: il commento di frasi relative a temi, strumenti e modelli affrontati nel corso; casi ed esempi di strategie aziendali; l’applicazione di strumenti visti a lezione o nel materiale didattico di riferimento. Sulla piattaforma Blackboard sarà proposto un esempio di domanda </w:t>
      </w:r>
      <w:r w:rsidRPr="004C24E2">
        <w:rPr>
          <w:i/>
          <w:iCs/>
        </w:rPr>
        <w:t>multiple choice</w:t>
      </w:r>
      <w:r>
        <w:t xml:space="preserve"> e di domanda aperta del tipo di quelle che comporranno la prova.</w:t>
      </w:r>
    </w:p>
    <w:p w14:paraId="37716AC8" w14:textId="77777777" w:rsidR="0044529A" w:rsidRDefault="0044529A" w:rsidP="0044529A">
      <w:pPr>
        <w:pStyle w:val="Testo2"/>
      </w:pPr>
      <w:r>
        <w:t>Per gli studenti frequentanti è prevista una prova intermedia, facoltativa, sul modulo I: nel caso in cui questa prova venga valutata positivamente, il relativo voto potrà fare media con il voto conseguito nella prova del secondo modulo (da sostenersi esclusivamente in uno dei primi tre appelli). Gli studenti frequentanti avranno anche la possibilità di svolgere un lavoro di gruppo valutabile al massimo 4 punti, utilizzabili (in alternativa a domande di pari peso) esclusivamente se l’esame sarà sostenuto in uno dei primi tre appelli.</w:t>
      </w:r>
    </w:p>
    <w:p w14:paraId="2AB5E583" w14:textId="77777777" w:rsidR="0044529A" w:rsidRDefault="0044529A" w:rsidP="0044529A">
      <w:pPr>
        <w:pStyle w:val="Testo2"/>
        <w:rPr>
          <w:b/>
          <w:bCs/>
        </w:rPr>
      </w:pPr>
      <w:r>
        <w:rPr>
          <w:b/>
          <w:bCs/>
        </w:rPr>
        <w:t>Modulo II:</w:t>
      </w:r>
    </w:p>
    <w:p w14:paraId="1F32AB28" w14:textId="77777777" w:rsidR="0044529A" w:rsidRDefault="0044529A" w:rsidP="0044529A">
      <w:pPr>
        <w:pStyle w:val="Testo2"/>
      </w:pPr>
      <w:r>
        <w:t xml:space="preserve">L’esame sul modulo II si basa sui capitoli da 1 a 5 delle dispense del docente (vedi bibliografia) e si compone di una parte teorica (totale 12 punti), una parte di System Dynamics (totale 18 punti) e una domanda di teoria opzionale per la lode (1 punto). Il punto della domanda per la lode viene assegnato solo se il totale dei punti della parte teoria e di System Dynamics è pari a 30. In caso contrario (punteggio inferiore a 30), il punto della domanda per la lode non viene considerato (anche in caso di risposta corretta). La parte teorica di compone di domande chiuse </w:t>
      </w:r>
      <w:r w:rsidRPr="00984961">
        <w:rPr>
          <w:i/>
        </w:rPr>
        <w:t>multiple choi</w:t>
      </w:r>
      <w:r>
        <w:rPr>
          <w:i/>
        </w:rPr>
        <w:t>c</w:t>
      </w:r>
      <w:r w:rsidRPr="00984961">
        <w:rPr>
          <w:i/>
        </w:rPr>
        <w:t>e</w:t>
      </w:r>
      <w:r>
        <w:t xml:space="preserve"> (del peso di 0,5 o 1 punto) e di domande aperte (del peso di 2 o 3 punti) sugli argomenti trattati nei capitoli da 1 a 5 delle dispense del docente pubblicate sulla piattaforma Blackboard. </w:t>
      </w:r>
    </w:p>
    <w:p w14:paraId="75DCEBD4" w14:textId="77777777" w:rsidR="0044529A" w:rsidRDefault="0044529A" w:rsidP="0044529A">
      <w:pPr>
        <w:pStyle w:val="Testo2"/>
      </w:pPr>
      <w:r>
        <w:rPr>
          <w:szCs w:val="18"/>
        </w:rPr>
        <w:t>Sulla piattaforma Blackboard sarà proposto un esempio di prova d’esame, con parte teorica (domande multiple choice e domande aperte), parte di System Dynamics e domanda per la lode.</w:t>
      </w:r>
    </w:p>
    <w:p w14:paraId="37501D1A" w14:textId="77777777" w:rsidR="0044529A" w:rsidRDefault="0044529A" w:rsidP="0044529A">
      <w:pPr>
        <w:pStyle w:val="Testo2"/>
      </w:pPr>
      <w:r>
        <w:t xml:space="preserve">Il business game viene valutato con un massimo di 4 punti. La valutazione del business game viene resa pubblica precedentemente al primo appello successivo alla fine del corso. I punti acquisiti attraverso il business game possono essere utilizzati nei primi 3 appelli </w:t>
      </w:r>
      <w:r>
        <w:lastRenderedPageBreak/>
        <w:t>successivi alla fine del corso in sostituzione di alcune domande della prova scritta del modulo II, opportunamente indicate e dello stesso valore del business game (quattro punti). La partecipazione e i punteggi assegnati al business game sono indipendenti dall’esito della prova intermedia del modulo 1.</w:t>
      </w:r>
    </w:p>
    <w:p w14:paraId="12174AD2" w14:textId="77777777" w:rsidR="005F17A5" w:rsidRDefault="005F17A5" w:rsidP="005F17A5">
      <w:pPr>
        <w:spacing w:before="240" w:after="120"/>
        <w:rPr>
          <w:b/>
          <w:i/>
          <w:sz w:val="18"/>
        </w:rPr>
      </w:pPr>
      <w:r>
        <w:rPr>
          <w:b/>
          <w:i/>
          <w:sz w:val="18"/>
        </w:rPr>
        <w:t>AVVERTENZE E PREREQUISITI</w:t>
      </w:r>
    </w:p>
    <w:p w14:paraId="2D3BC4DD" w14:textId="77777777" w:rsidR="0044529A" w:rsidRDefault="0044529A" w:rsidP="0044529A">
      <w:pPr>
        <w:pStyle w:val="Testo2"/>
      </w:pPr>
      <w:r>
        <w:t>Sono richieste conoscenze di Economia aziendale e conoscenze di base di Strategia aziendale (concetto di strategia, livelli della strategia, strategie competitive di base). Sono inoltre richiesti i concetti elementari di analisi matematica e di statistica necessari per l’analisi dei dati nel secondo modulo. Si consiglia vivamente la frequenza e la partecipazione attiva alle lezioni.</w:t>
      </w:r>
    </w:p>
    <w:p w14:paraId="290E0926" w14:textId="0D1F1EC8" w:rsidR="0044529A" w:rsidRPr="0044529A" w:rsidRDefault="0044529A" w:rsidP="0044529A">
      <w:pPr>
        <w:pStyle w:val="Testo2"/>
        <w:spacing w:before="120"/>
      </w:pPr>
      <w:r>
        <w:rPr>
          <w:i/>
          <w:iCs/>
        </w:rPr>
        <w:t>O</w:t>
      </w:r>
      <w:r w:rsidRPr="0044529A">
        <w:rPr>
          <w:i/>
          <w:iCs/>
        </w:rPr>
        <w:t xml:space="preserve">rario e luogo di ricevimento </w:t>
      </w:r>
      <w:r>
        <w:rPr>
          <w:i/>
          <w:iCs/>
        </w:rPr>
        <w:t>degli studenti</w:t>
      </w:r>
    </w:p>
    <w:p w14:paraId="1A81C675" w14:textId="77777777" w:rsidR="0044529A" w:rsidRDefault="0044529A" w:rsidP="0044529A">
      <w:pPr>
        <w:pStyle w:val="Testo2"/>
      </w:pPr>
      <w:r>
        <w:t>Giorni e orari di ricevimento della Prof.ssa Depperu sono indicati sulla sua pagina docente. Il ricevimento si tiene nell’ufficio di via Necchi 5, ex-conventino.</w:t>
      </w:r>
    </w:p>
    <w:p w14:paraId="7FA72D33" w14:textId="77777777" w:rsidR="0044529A" w:rsidRDefault="0044529A" w:rsidP="0044529A">
      <w:pPr>
        <w:pStyle w:val="Testo2"/>
      </w:pPr>
      <w:r>
        <w:t>Per il Prof. Geppert, il ricevimento avviene su appuntamento da concordare tramite contatto via email.</w:t>
      </w:r>
    </w:p>
    <w:sectPr w:rsidR="0044529A" w:rsidSect="004D1217">
      <w:pgSz w:w="11906" w:h="16838" w:code="9"/>
      <w:pgMar w:top="3515" w:right="2608" w:bottom="3515" w:left="260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A85973" w14:textId="77777777" w:rsidR="007721C2" w:rsidRDefault="007721C2" w:rsidP="00550154">
      <w:pPr>
        <w:spacing w:line="240" w:lineRule="auto"/>
      </w:pPr>
      <w:r>
        <w:separator/>
      </w:r>
    </w:p>
  </w:endnote>
  <w:endnote w:type="continuationSeparator" w:id="0">
    <w:p w14:paraId="6F90CD6A" w14:textId="77777777" w:rsidR="007721C2" w:rsidRDefault="007721C2" w:rsidP="0055015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979B41" w14:textId="77777777" w:rsidR="007721C2" w:rsidRDefault="007721C2" w:rsidP="00550154">
      <w:pPr>
        <w:spacing w:line="240" w:lineRule="auto"/>
      </w:pPr>
      <w:r>
        <w:separator/>
      </w:r>
    </w:p>
  </w:footnote>
  <w:footnote w:type="continuationSeparator" w:id="0">
    <w:p w14:paraId="00F55927" w14:textId="77777777" w:rsidR="007721C2" w:rsidRDefault="007721C2" w:rsidP="00550154">
      <w:pPr>
        <w:spacing w:line="240" w:lineRule="auto"/>
      </w:pPr>
      <w:r>
        <w:continuationSeparator/>
      </w:r>
    </w:p>
  </w:footnote>
  <w:footnote w:id="1">
    <w:p w14:paraId="5F1F103B" w14:textId="242EAD32" w:rsidR="00550154" w:rsidRDefault="00550154">
      <w:pPr>
        <w:pStyle w:val="Testonotaapidipagina"/>
      </w:pPr>
      <w:r>
        <w:rPr>
          <w:rStyle w:val="Rimandonotaapidipagina"/>
        </w:rPr>
        <w:footnoteRef/>
      </w:r>
      <w:r>
        <w:t xml:space="preserve"> </w:t>
      </w:r>
      <w:r w:rsidRPr="001D7759">
        <w:rPr>
          <w:sz w:val="16"/>
          <w:szCs w:val="16"/>
        </w:rPr>
        <w:t xml:space="preserve">I testi indicati nella bibliografia sono acquistabili presso le librerie di Ateneo; è possibile acquistarli </w:t>
      </w:r>
      <w:r>
        <w:rPr>
          <w:sz w:val="16"/>
          <w:szCs w:val="16"/>
        </w:rPr>
        <w:t>anche presso altri rivenditori.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E11CA"/>
    <w:multiLevelType w:val="hybridMultilevel"/>
    <w:tmpl w:val="DA162C78"/>
    <w:lvl w:ilvl="0" w:tplc="5498D5E0">
      <w:start w:val="1"/>
      <w:numFmt w:val="bullet"/>
      <w:lvlText w:val="-"/>
      <w:lvlJc w:val="left"/>
      <w:pPr>
        <w:ind w:left="720" w:hanging="360"/>
      </w:pPr>
      <w:rPr>
        <w:rFonts w:ascii="Times New Roman" w:hAnsi="Times New Roman"/>
      </w:rPr>
    </w:lvl>
    <w:lvl w:ilvl="1" w:tplc="73A87E76">
      <w:numFmt w:val="decimal"/>
      <w:lvlText w:val=""/>
      <w:lvlJc w:val="left"/>
    </w:lvl>
    <w:lvl w:ilvl="2" w:tplc="080ABA8E">
      <w:numFmt w:val="decimal"/>
      <w:lvlText w:val=""/>
      <w:lvlJc w:val="left"/>
    </w:lvl>
    <w:lvl w:ilvl="3" w:tplc="60CCD596">
      <w:numFmt w:val="decimal"/>
      <w:lvlText w:val=""/>
      <w:lvlJc w:val="left"/>
    </w:lvl>
    <w:lvl w:ilvl="4" w:tplc="59384942">
      <w:numFmt w:val="decimal"/>
      <w:lvlText w:val=""/>
      <w:lvlJc w:val="left"/>
    </w:lvl>
    <w:lvl w:ilvl="5" w:tplc="EF0AEA4E">
      <w:numFmt w:val="decimal"/>
      <w:lvlText w:val=""/>
      <w:lvlJc w:val="left"/>
    </w:lvl>
    <w:lvl w:ilvl="6" w:tplc="33B02D86">
      <w:numFmt w:val="decimal"/>
      <w:lvlText w:val=""/>
      <w:lvlJc w:val="left"/>
    </w:lvl>
    <w:lvl w:ilvl="7" w:tplc="B3881DBA">
      <w:numFmt w:val="decimal"/>
      <w:lvlText w:val=""/>
      <w:lvlJc w:val="left"/>
    </w:lvl>
    <w:lvl w:ilvl="8" w:tplc="ECDEBCB2">
      <w:numFmt w:val="decimal"/>
      <w:lvlText w:val=""/>
      <w:lvlJc w:val="left"/>
    </w:lvl>
  </w:abstractNum>
  <w:num w:numId="1" w16cid:durableId="3493734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rawingGridVerticalSpacing w:val="13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6C3"/>
    <w:rsid w:val="00187B99"/>
    <w:rsid w:val="001A5506"/>
    <w:rsid w:val="002014DD"/>
    <w:rsid w:val="002D5E17"/>
    <w:rsid w:val="0044529A"/>
    <w:rsid w:val="004D1217"/>
    <w:rsid w:val="004D6008"/>
    <w:rsid w:val="00550154"/>
    <w:rsid w:val="005F17A5"/>
    <w:rsid w:val="00640794"/>
    <w:rsid w:val="006F1772"/>
    <w:rsid w:val="007721C2"/>
    <w:rsid w:val="008942E7"/>
    <w:rsid w:val="008A1204"/>
    <w:rsid w:val="00900CCA"/>
    <w:rsid w:val="00906A9B"/>
    <w:rsid w:val="00924B77"/>
    <w:rsid w:val="00940DA2"/>
    <w:rsid w:val="009E055C"/>
    <w:rsid w:val="00A6108F"/>
    <w:rsid w:val="00A74F6F"/>
    <w:rsid w:val="00AD7557"/>
    <w:rsid w:val="00B50C5D"/>
    <w:rsid w:val="00B51253"/>
    <w:rsid w:val="00B525CC"/>
    <w:rsid w:val="00B76192"/>
    <w:rsid w:val="00D404F2"/>
    <w:rsid w:val="00D546C3"/>
    <w:rsid w:val="00DD6588"/>
    <w:rsid w:val="00E607E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72FC33"/>
  <w15:chartTrackingRefBased/>
  <w15:docId w15:val="{E03C16C8-74E1-4D06-862C-85DBCD662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5F17A5"/>
    <w:pPr>
      <w:tabs>
        <w:tab w:val="left" w:pos="284"/>
      </w:tabs>
      <w:spacing w:line="240" w:lineRule="exact"/>
      <w:jc w:val="both"/>
    </w:pPr>
    <w:rPr>
      <w:szCs w:val="24"/>
    </w:rPr>
  </w:style>
  <w:style w:type="paragraph" w:styleId="Titolo1">
    <w:name w:val="heading 1"/>
    <w:next w:val="Titolo2"/>
    <w:link w:val="Titolo1Carattere"/>
    <w:qFormat/>
    <w:rsid w:val="00E607E6"/>
    <w:pPr>
      <w:spacing w:before="480" w:line="240" w:lineRule="exact"/>
      <w:ind w:left="284" w:hanging="284"/>
      <w:jc w:val="both"/>
      <w:outlineLvl w:val="0"/>
    </w:pPr>
    <w:rPr>
      <w:rFonts w:ascii="Times" w:hAnsi="Times"/>
      <w:b/>
      <w:noProof/>
    </w:rPr>
  </w:style>
  <w:style w:type="paragraph" w:styleId="Titolo2">
    <w:name w:val="heading 2"/>
    <w:next w:val="Titolo3"/>
    <w:link w:val="Titolo2Carattere"/>
    <w:qFormat/>
    <w:rsid w:val="00E607E6"/>
    <w:pPr>
      <w:spacing w:line="240" w:lineRule="exact"/>
      <w:jc w:val="both"/>
      <w:outlineLvl w:val="1"/>
    </w:pPr>
    <w:rPr>
      <w:rFonts w:ascii="Times" w:hAnsi="Times"/>
      <w:smallCaps/>
      <w:noProof/>
      <w:sz w:val="18"/>
    </w:rPr>
  </w:style>
  <w:style w:type="paragraph" w:styleId="Titolo3">
    <w:name w:val="heading 3"/>
    <w:next w:val="Normale"/>
    <w:qFormat/>
    <w:rsid w:val="00A74F6F"/>
    <w:pPr>
      <w:spacing w:before="240" w:after="120" w:line="240" w:lineRule="exact"/>
      <w:ind w:left="284" w:hanging="284"/>
      <w:jc w:val="both"/>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E607E6"/>
    <w:rPr>
      <w:rFonts w:ascii="Times" w:hAnsi="Times"/>
      <w:b/>
      <w:noProof/>
      <w:lang w:val="it-IT" w:eastAsia="it-IT" w:bidi="ar-SA"/>
    </w:rPr>
  </w:style>
  <w:style w:type="paragraph" w:customStyle="1" w:styleId="Testo1">
    <w:name w:val="Testo 1"/>
    <w:rsid w:val="00D404F2"/>
    <w:pPr>
      <w:spacing w:before="120" w:line="220" w:lineRule="exact"/>
      <w:ind w:left="284" w:hanging="284"/>
      <w:jc w:val="both"/>
    </w:pPr>
    <w:rPr>
      <w:rFonts w:ascii="Times" w:hAnsi="Times"/>
      <w:noProof/>
      <w:sz w:val="18"/>
    </w:rPr>
  </w:style>
  <w:style w:type="paragraph" w:customStyle="1" w:styleId="Testo2">
    <w:name w:val="Testo 2"/>
    <w:rsid w:val="00900CCA"/>
    <w:pPr>
      <w:tabs>
        <w:tab w:val="left" w:pos="284"/>
      </w:tabs>
      <w:spacing w:line="220" w:lineRule="exact"/>
      <w:ind w:firstLine="284"/>
      <w:jc w:val="both"/>
    </w:pPr>
    <w:rPr>
      <w:rFonts w:ascii="Times" w:hAnsi="Times"/>
      <w:noProof/>
      <w:sz w:val="18"/>
    </w:rPr>
  </w:style>
  <w:style w:type="character" w:customStyle="1" w:styleId="Titolo2Carattere">
    <w:name w:val="Titolo 2 Carattere"/>
    <w:link w:val="Titolo2"/>
    <w:rsid w:val="00E607E6"/>
    <w:rPr>
      <w:rFonts w:ascii="Times" w:hAnsi="Times"/>
      <w:smallCaps/>
      <w:noProof/>
      <w:sz w:val="18"/>
      <w:lang w:bidi="ar-SA"/>
    </w:rPr>
  </w:style>
  <w:style w:type="paragraph" w:styleId="Testonotaapidipagina">
    <w:name w:val="footnote text"/>
    <w:basedOn w:val="Normale"/>
    <w:link w:val="TestonotaapidipaginaCarattere"/>
    <w:rsid w:val="00550154"/>
    <w:pPr>
      <w:spacing w:line="240" w:lineRule="auto"/>
    </w:pPr>
    <w:rPr>
      <w:szCs w:val="20"/>
    </w:rPr>
  </w:style>
  <w:style w:type="character" w:customStyle="1" w:styleId="TestonotaapidipaginaCarattere">
    <w:name w:val="Testo nota a piè di pagina Carattere"/>
    <w:basedOn w:val="Carpredefinitoparagrafo"/>
    <w:link w:val="Testonotaapidipagina"/>
    <w:rsid w:val="00550154"/>
  </w:style>
  <w:style w:type="character" w:styleId="Rimandonotaapidipagina">
    <w:name w:val="footnote reference"/>
    <w:basedOn w:val="Carpredefinitoparagrafo"/>
    <w:rsid w:val="00550154"/>
    <w:rPr>
      <w:vertAlign w:val="superscript"/>
    </w:rPr>
  </w:style>
  <w:style w:type="character" w:styleId="Collegamentoipertestuale">
    <w:name w:val="Hyperlink"/>
    <w:basedOn w:val="Carpredefinitoparagrafo"/>
    <w:rsid w:val="00550154"/>
    <w:rPr>
      <w:color w:val="0563C1" w:themeColor="hyperlink"/>
      <w:u w:val="single"/>
    </w:rPr>
  </w:style>
  <w:style w:type="character" w:styleId="Menzionenonrisolta">
    <w:name w:val="Unresolved Mention"/>
    <w:basedOn w:val="Carpredefinitoparagrafo"/>
    <w:uiPriority w:val="99"/>
    <w:semiHidden/>
    <w:unhideWhenUsed/>
    <w:rsid w:val="005501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DOCUMENTI_TPL\NORMAL%20ORIGINALI\PROG_COR_2019.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568646-2C68-45E6-A2BD-52BA71D838A8}">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PROG_COR_2019.dotx</Template>
  <TotalTime>48</TotalTime>
  <Pages>5</Pages>
  <Words>1663</Words>
  <Characters>9484</Characters>
  <Application>Microsoft Office Word</Application>
  <DocSecurity>0</DocSecurity>
  <Lines>79</Lines>
  <Paragraphs>22</Paragraphs>
  <ScaleCrop>false</ScaleCrop>
  <HeadingPairs>
    <vt:vector size="2" baseType="variant">
      <vt:variant>
        <vt:lpstr>Titolo</vt:lpstr>
      </vt:variant>
      <vt:variant>
        <vt:i4>1</vt:i4>
      </vt:variant>
    </vt:vector>
  </HeadingPairs>
  <TitlesOfParts>
    <vt:vector size="1" baseType="lpstr">
      <vt:lpstr/>
    </vt:vector>
  </TitlesOfParts>
  <Company>U.C.S.C. MILANO</Company>
  <LinksUpToDate>false</LinksUpToDate>
  <CharactersWithSpaces>11125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Grassi Monica Barbara</dc:creator>
  <cp:keywords/>
  <cp:lastModifiedBy>Rolli Andrea</cp:lastModifiedBy>
  <cp:revision>5</cp:revision>
  <cp:lastPrinted>2003-03-27T10:42:00Z</cp:lastPrinted>
  <dcterms:created xsi:type="dcterms:W3CDTF">2026-05-14T14:39:00Z</dcterms:created>
  <dcterms:modified xsi:type="dcterms:W3CDTF">2026-07-15T09:04:00Z</dcterms:modified>
</cp:coreProperties>
</file>