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B54715" w14:textId="77777777" w:rsidR="00B21AE8" w:rsidRPr="0027022F" w:rsidRDefault="00B21AE8" w:rsidP="00B21AE8">
      <w:pPr>
        <w:pStyle w:val="Titolo1"/>
      </w:pPr>
      <w:r w:rsidRPr="0027022F">
        <w:t>Matematica generale</w:t>
      </w:r>
    </w:p>
    <w:p w14:paraId="7574F074" w14:textId="25CAAD7E" w:rsidR="00B21AE8" w:rsidRPr="0027022F" w:rsidRDefault="00B21AE8" w:rsidP="00B21AE8">
      <w:pPr>
        <w:pStyle w:val="Titolo2"/>
      </w:pPr>
      <w:r w:rsidRPr="0027022F">
        <w:t>Prof.</w:t>
      </w:r>
      <w:r w:rsidR="0027022F" w:rsidRPr="0027022F">
        <w:t xml:space="preserve"> </w:t>
      </w:r>
      <w:r w:rsidRPr="0027022F">
        <w:t>Francesco Battistoni; Prof.ssa Lorenza Montalbetti</w:t>
      </w:r>
    </w:p>
    <w:p w14:paraId="22398DD9" w14:textId="77777777" w:rsidR="00B21AE8" w:rsidRDefault="00B21AE8" w:rsidP="00B21AE8">
      <w:pPr>
        <w:spacing w:before="240" w:after="120" w:line="240" w:lineRule="exact"/>
        <w:rPr>
          <w:b/>
          <w:sz w:val="18"/>
        </w:rPr>
      </w:pPr>
      <w:r w:rsidRPr="0027022F">
        <w:rPr>
          <w:b/>
          <w:i/>
          <w:sz w:val="18"/>
        </w:rPr>
        <w:t>OBIETTIVO DEL CORSO E RISULTATI DI APPRENDIMENTO</w:t>
      </w:r>
      <w:r>
        <w:rPr>
          <w:b/>
          <w:i/>
          <w:sz w:val="18"/>
        </w:rPr>
        <w:t xml:space="preserve"> ATTESI</w:t>
      </w:r>
    </w:p>
    <w:p w14:paraId="1503937A" w14:textId="77777777" w:rsidR="00B21AE8" w:rsidRPr="0010638B" w:rsidRDefault="00B21AE8" w:rsidP="00B21AE8">
      <w:pPr>
        <w:rPr>
          <w:szCs w:val="18"/>
        </w:rPr>
      </w:pPr>
      <w:r w:rsidRPr="0010638B">
        <w:rPr>
          <w:szCs w:val="18"/>
        </w:rPr>
        <w:t>L’obiettivo prioritario del corso è quello di sviluppare l’attitudine ad esaminare criticamente i concetti matematici incontrati dallo studente nel suo percorso didattico-formativo e stimolare le capacità di utilizzare, nelle discipline a contenuto economico, statistico e finanziario che lo studente affronterà in seguito, metodi, strumenti e modelli matematici. L’insegnamento si propone di fornire le basi dell’algebra lineare, del calcolo differenziale ed integrale e dell’ottimizzazione che costituiscono un efficace strumento di analisi di fenomeni economico-aziendali. Le lezioni di natura più teorica saranno affiancate da esercitazioni svolte in aula, da incontri con la partecipazione attiva degli studenti nella soluzione di problemi, anche teorici, e da esercizi assegnati con successiva correzione.</w:t>
      </w:r>
    </w:p>
    <w:p w14:paraId="453D7A66" w14:textId="77777777" w:rsidR="00B21AE8" w:rsidRPr="0010638B" w:rsidRDefault="00B21AE8" w:rsidP="00B21AE8">
      <w:pPr>
        <w:rPr>
          <w:szCs w:val="18"/>
        </w:rPr>
      </w:pPr>
      <w:r w:rsidRPr="0010638B">
        <w:rPr>
          <w:szCs w:val="18"/>
        </w:rPr>
        <w:t>Al termine del corso gli studenti:</w:t>
      </w:r>
    </w:p>
    <w:p w14:paraId="628D750B" w14:textId="77777777" w:rsidR="00B21AE8" w:rsidRPr="0010638B" w:rsidRDefault="00B21AE8" w:rsidP="00B21AE8">
      <w:pPr>
        <w:pStyle w:val="Paragrafoelenco"/>
        <w:numPr>
          <w:ilvl w:val="0"/>
          <w:numId w:val="1"/>
        </w:numPr>
        <w:ind w:left="284" w:hanging="284"/>
        <w:rPr>
          <w:szCs w:val="18"/>
        </w:rPr>
      </w:pPr>
      <w:r w:rsidRPr="0010638B">
        <w:rPr>
          <w:i/>
          <w:iCs/>
          <w:szCs w:val="18"/>
        </w:rPr>
        <w:t xml:space="preserve">avranno </w:t>
      </w:r>
      <w:r w:rsidRPr="0010638B">
        <w:rPr>
          <w:szCs w:val="18"/>
        </w:rPr>
        <w:t>acquisito la conoscenza e la capacità di comprensione delle principali parti del programma ed essere in grado di applicare i metodi matematici descritti nel programma alla risoluzione di problemi ed esercizi;</w:t>
      </w:r>
    </w:p>
    <w:p w14:paraId="67D0069A" w14:textId="77777777" w:rsidR="00B21AE8" w:rsidRPr="0010638B" w:rsidRDefault="00B21AE8" w:rsidP="00B21AE8">
      <w:pPr>
        <w:pStyle w:val="Paragrafoelenco"/>
        <w:numPr>
          <w:ilvl w:val="0"/>
          <w:numId w:val="1"/>
        </w:numPr>
        <w:ind w:left="284" w:hanging="284"/>
        <w:rPr>
          <w:szCs w:val="18"/>
        </w:rPr>
      </w:pPr>
      <w:r w:rsidRPr="0010638B">
        <w:rPr>
          <w:i/>
          <w:iCs/>
          <w:szCs w:val="18"/>
        </w:rPr>
        <w:t>saranno</w:t>
      </w:r>
      <w:r w:rsidRPr="0010638B">
        <w:rPr>
          <w:szCs w:val="18"/>
        </w:rPr>
        <w:t xml:space="preserve"> in grado di tradurre nei simboli e nel formalismo della matematica situazioni del mondo reale, specialmente in campo economico, finanziario e sociale;</w:t>
      </w:r>
    </w:p>
    <w:p w14:paraId="329A3975" w14:textId="77777777" w:rsidR="00B21AE8" w:rsidRPr="0010638B" w:rsidRDefault="00B21AE8" w:rsidP="00B21AE8">
      <w:pPr>
        <w:pStyle w:val="Paragrafoelenco"/>
        <w:numPr>
          <w:ilvl w:val="0"/>
          <w:numId w:val="1"/>
        </w:numPr>
        <w:ind w:left="284" w:hanging="284"/>
        <w:rPr>
          <w:szCs w:val="18"/>
        </w:rPr>
      </w:pPr>
      <w:r w:rsidRPr="0010638B">
        <w:rPr>
          <w:i/>
          <w:iCs/>
          <w:szCs w:val="18"/>
        </w:rPr>
        <w:t>sapranno</w:t>
      </w:r>
      <w:r w:rsidRPr="0010638B">
        <w:rPr>
          <w:szCs w:val="18"/>
        </w:rPr>
        <w:t xml:space="preserve"> confrontarsi con problematiche complesse mediante gli strumenti logici e formali messi a disposizione dalla matematica;</w:t>
      </w:r>
    </w:p>
    <w:p w14:paraId="619B0C7A" w14:textId="77777777" w:rsidR="00B21AE8" w:rsidRPr="0010638B" w:rsidRDefault="00B21AE8" w:rsidP="00B21AE8">
      <w:pPr>
        <w:pStyle w:val="Paragrafoelenco"/>
        <w:numPr>
          <w:ilvl w:val="0"/>
          <w:numId w:val="1"/>
        </w:numPr>
        <w:ind w:left="284" w:hanging="284"/>
        <w:rPr>
          <w:szCs w:val="18"/>
        </w:rPr>
      </w:pPr>
      <w:r w:rsidRPr="0010638B">
        <w:rPr>
          <w:i/>
          <w:iCs/>
          <w:szCs w:val="18"/>
        </w:rPr>
        <w:t>avranno</w:t>
      </w:r>
      <w:r w:rsidRPr="0010638B">
        <w:rPr>
          <w:szCs w:val="18"/>
        </w:rPr>
        <w:t xml:space="preserve"> acquisito un linguaggio rigoroso ed essenziale che consenta loro di comunicare con chiarezza ed efficacia le conoscenze acquisite;</w:t>
      </w:r>
    </w:p>
    <w:p w14:paraId="143A8F65" w14:textId="77777777" w:rsidR="00B21AE8" w:rsidRPr="0010638B" w:rsidRDefault="00B21AE8" w:rsidP="00B21AE8">
      <w:pPr>
        <w:pStyle w:val="Paragrafoelenco"/>
        <w:numPr>
          <w:ilvl w:val="0"/>
          <w:numId w:val="1"/>
        </w:numPr>
        <w:ind w:left="284" w:hanging="284"/>
        <w:rPr>
          <w:szCs w:val="18"/>
        </w:rPr>
      </w:pPr>
      <w:r w:rsidRPr="0010638B">
        <w:rPr>
          <w:i/>
          <w:iCs/>
          <w:szCs w:val="18"/>
        </w:rPr>
        <w:t>avranno</w:t>
      </w:r>
      <w:r w:rsidRPr="0010638B">
        <w:rPr>
          <w:szCs w:val="18"/>
        </w:rPr>
        <w:t xml:space="preserve"> sviluppato buone capacità di apprendimento che permettano di intraprendere con maggiore autonomia studi successivi più avanzati.</w:t>
      </w:r>
    </w:p>
    <w:p w14:paraId="259BDED3" w14:textId="77777777" w:rsidR="00B21AE8" w:rsidRPr="005F733A" w:rsidRDefault="00B21AE8" w:rsidP="00B21AE8">
      <w:pPr>
        <w:spacing w:before="240" w:after="120" w:line="240" w:lineRule="exact"/>
        <w:rPr>
          <w:b/>
          <w:sz w:val="18"/>
          <w:szCs w:val="18"/>
        </w:rPr>
      </w:pPr>
      <w:r w:rsidRPr="005F733A">
        <w:rPr>
          <w:b/>
          <w:i/>
          <w:sz w:val="18"/>
          <w:szCs w:val="18"/>
        </w:rPr>
        <w:t>PROGRAMMA DEL CORSO</w:t>
      </w:r>
    </w:p>
    <w:p w14:paraId="67C002EA" w14:textId="77777777" w:rsidR="00B21AE8" w:rsidRPr="000073C3" w:rsidRDefault="00B21AE8" w:rsidP="00B21AE8">
      <w:r w:rsidRPr="000073C3">
        <w:t>Il corso è articolato in tre parti fondamentali:</w:t>
      </w:r>
    </w:p>
    <w:p w14:paraId="4C3CC909" w14:textId="77777777" w:rsidR="00B21AE8" w:rsidRPr="000073C3" w:rsidRDefault="00B21AE8" w:rsidP="00B21AE8">
      <w:pPr>
        <w:spacing w:line="240" w:lineRule="exact"/>
      </w:pPr>
      <w:r w:rsidRPr="000073C3">
        <w:rPr>
          <w:i/>
        </w:rPr>
        <w:t>Elementi di Algebra Lineare</w:t>
      </w:r>
      <w:r w:rsidRPr="000073C3">
        <w:t xml:space="preserve">. Lo spazio vettoriale </w:t>
      </w:r>
      <w:proofErr w:type="spellStart"/>
      <w:r w:rsidRPr="000073C3">
        <w:t>R</w:t>
      </w:r>
      <w:r w:rsidRPr="000073C3">
        <w:rPr>
          <w:vertAlign w:val="superscript"/>
        </w:rPr>
        <w:t>n</w:t>
      </w:r>
      <w:proofErr w:type="spellEnd"/>
      <w:r w:rsidRPr="000073C3">
        <w:t xml:space="preserve">. Combinazioni lineari, dipendenza e indipendenza lineare di vettori. Matrici e relative operazioni. Determinante. Matrice inversa. Rango di una matrice. Sistemi lineari di m equazioni in n incognite omogenei e non omogenei. Teorema di </w:t>
      </w:r>
      <w:proofErr w:type="spellStart"/>
      <w:r w:rsidRPr="000073C3">
        <w:t>Rouchè</w:t>
      </w:r>
      <w:proofErr w:type="spellEnd"/>
      <w:r w:rsidRPr="000073C3">
        <w:t>-Capelli, Teorema di Cramer.</w:t>
      </w:r>
    </w:p>
    <w:p w14:paraId="52F94C0A" w14:textId="77777777" w:rsidR="00B21AE8" w:rsidRPr="000073C3" w:rsidRDefault="00B21AE8" w:rsidP="00B21AE8">
      <w:pPr>
        <w:spacing w:before="120" w:line="240" w:lineRule="exact"/>
      </w:pPr>
      <w:r w:rsidRPr="000073C3">
        <w:rPr>
          <w:i/>
        </w:rPr>
        <w:t>Funzioni reali di una variabile reale.</w:t>
      </w:r>
      <w:r w:rsidRPr="000073C3">
        <w:t xml:space="preserve"> L’insieme dei numeri reali R. Elementi di topologia in R. Dominio. Massimo, minimo, estremo superiore e inferiore. Funzioni </w:t>
      </w:r>
      <w:r w:rsidRPr="000073C3">
        <w:lastRenderedPageBreak/>
        <w:t>limitate, funzioni monotone, funzioni composte, funzioni invertibili. Funzioni concave e convesse.</w:t>
      </w:r>
    </w:p>
    <w:p w14:paraId="40E6F971" w14:textId="77777777" w:rsidR="00B21AE8" w:rsidRPr="000073C3" w:rsidRDefault="00B21AE8" w:rsidP="00B21AE8">
      <w:pPr>
        <w:spacing w:line="240" w:lineRule="exact"/>
      </w:pPr>
      <w:r w:rsidRPr="000073C3">
        <w:t>Limiti e teoremi relativi. Operazioni sui limiti e forme di indecisione. Funzioni continue e teoremi relativi. Asintoti orizzontali, verticali e obliqui.</w:t>
      </w:r>
    </w:p>
    <w:p w14:paraId="77FC4DC6" w14:textId="77777777" w:rsidR="00B21AE8" w:rsidRPr="000073C3" w:rsidRDefault="00B21AE8" w:rsidP="00B21AE8">
      <w:pPr>
        <w:spacing w:line="240" w:lineRule="exact"/>
      </w:pPr>
      <w:r w:rsidRPr="000073C3">
        <w:t>Rapporto incrementale e derivata. Funzioni differenziabili. Operazioni sulle derivate. Derivata delle funzioni composte. Teoremi del calcolo differenziale. Formula di Taylor. Punti di massimo e minimo assoluti e relativi. Punti di flesso. Condizioni necessaria e/o sufficiente per l’esistenza di punti di massimo/minimo relativo. Concavità/convessità.</w:t>
      </w:r>
    </w:p>
    <w:p w14:paraId="25408A16" w14:textId="77777777" w:rsidR="00B21AE8" w:rsidRPr="000073C3" w:rsidRDefault="00B21AE8" w:rsidP="00B21AE8">
      <w:pPr>
        <w:spacing w:line="240" w:lineRule="exact"/>
      </w:pPr>
      <w:r w:rsidRPr="000073C3">
        <w:t>Primitive ed integrale indefinito. Integrale secondo Riemann in un intervallo limitato [</w:t>
      </w:r>
      <w:proofErr w:type="spellStart"/>
      <w:r w:rsidRPr="000073C3">
        <w:t>a,b</w:t>
      </w:r>
      <w:proofErr w:type="spellEnd"/>
      <w:r w:rsidRPr="000073C3">
        <w:t xml:space="preserve">] e teoremi relativi. Alcuni metodi di integrazione. </w:t>
      </w:r>
    </w:p>
    <w:p w14:paraId="37FE29DC" w14:textId="77777777" w:rsidR="00B21AE8" w:rsidRPr="000073C3" w:rsidRDefault="00B21AE8" w:rsidP="00B21AE8">
      <w:pPr>
        <w:spacing w:before="120" w:line="240" w:lineRule="exact"/>
      </w:pPr>
      <w:r w:rsidRPr="000073C3">
        <w:rPr>
          <w:i/>
        </w:rPr>
        <w:t>Funzioni reali di due variabili reali</w:t>
      </w:r>
      <w:r w:rsidRPr="000073C3">
        <w:t>. Lo spazio euclideo R</w:t>
      </w:r>
      <w:r w:rsidRPr="000073C3">
        <w:rPr>
          <w:vertAlign w:val="superscript"/>
        </w:rPr>
        <w:t>2</w:t>
      </w:r>
      <w:r w:rsidRPr="000073C3">
        <w:t>. Elementi di topologia in R</w:t>
      </w:r>
      <w:r w:rsidRPr="000073C3">
        <w:rPr>
          <w:vertAlign w:val="superscript"/>
        </w:rPr>
        <w:t>2</w:t>
      </w:r>
      <w:r w:rsidRPr="000073C3">
        <w:t>. Dominio. Curve di livello. Punti di massimo e minimo assoluti e relativi. Punti di sella. Continuità. Derivate parziali prime e seconde, vettore gradiente e matrice Hessiana. Funzioni omogenee, Funzioni concave e convesse. Formula di Taylor. Ottimizzazione libera: condizione necessaria del primo ordine e condizione sufficiente del secondo ordine. Ottimizzazione vincolata: a) vincoli di uguaglianza: il metodo delle curve di livello, il metodo di sostituzione, il metodo dei moltiplicatori di Lagrange (condizione necessaria del primo ordine e condizione sufficiente del secondo ordine, interpretazione del moltiplicatore di Lagrange); b) vincoli di disuguaglianza: il metodo delle curve di livello.</w:t>
      </w:r>
    </w:p>
    <w:p w14:paraId="2C98BBC8" w14:textId="0CB916A7" w:rsidR="00B21AE8" w:rsidRPr="000073C3" w:rsidRDefault="00B21AE8" w:rsidP="00B21AE8">
      <w:pPr>
        <w:spacing w:before="240" w:after="120"/>
        <w:rPr>
          <w:b/>
          <w:i/>
          <w:sz w:val="18"/>
          <w:szCs w:val="18"/>
        </w:rPr>
      </w:pPr>
      <w:r w:rsidRPr="000073C3">
        <w:rPr>
          <w:b/>
          <w:i/>
          <w:sz w:val="18"/>
          <w:szCs w:val="18"/>
        </w:rPr>
        <w:t>BIBLIOGRAFIA</w:t>
      </w:r>
      <w:r w:rsidR="00296FA7">
        <w:rPr>
          <w:rStyle w:val="Rimandonotaapidipagina"/>
          <w:b/>
          <w:i/>
          <w:sz w:val="18"/>
          <w:szCs w:val="18"/>
        </w:rPr>
        <w:footnoteReference w:id="1"/>
      </w:r>
    </w:p>
    <w:p w14:paraId="7A68BFD8" w14:textId="02CBA605" w:rsidR="00B21AE8" w:rsidRPr="0027022F" w:rsidRDefault="00B21AE8" w:rsidP="00B21AE8">
      <w:pPr>
        <w:spacing w:line="360" w:lineRule="auto"/>
        <w:rPr>
          <w:smallCaps/>
          <w:spacing w:val="-5"/>
          <w:sz w:val="16"/>
        </w:rPr>
      </w:pPr>
      <w:r w:rsidRPr="0027022F">
        <w:rPr>
          <w:smallCaps/>
          <w:spacing w:val="-5"/>
          <w:sz w:val="16"/>
        </w:rPr>
        <w:t>M. Bianchi- G. Messineo-E. Miglierina-S. Vassallo,</w:t>
      </w:r>
      <w:r w:rsidRPr="0027022F">
        <w:rPr>
          <w:i/>
        </w:rPr>
        <w:t xml:space="preserve"> Note di Matematica</w:t>
      </w:r>
      <w:r w:rsidRPr="0027022F">
        <w:rPr>
          <w:smallCaps/>
          <w:spacing w:val="-5"/>
          <w:sz w:val="16"/>
        </w:rPr>
        <w:t>, Giappichelli, 2022</w:t>
      </w:r>
      <w:r w:rsidR="00296FA7">
        <w:rPr>
          <w:smallCaps/>
          <w:spacing w:val="-5"/>
          <w:sz w:val="16"/>
        </w:rPr>
        <w:t xml:space="preserve"> </w:t>
      </w:r>
      <w:bookmarkStart w:id="0" w:name="_Hlk170391661"/>
      <w:r w:rsidR="00296FA7">
        <w:rPr>
          <w:i/>
          <w:color w:val="0070C0"/>
          <w:sz w:val="18"/>
          <w:szCs w:val="18"/>
        </w:rPr>
        <w:fldChar w:fldCharType="begin"/>
      </w:r>
      <w:r w:rsidR="00296FA7">
        <w:rPr>
          <w:i/>
          <w:color w:val="0070C0"/>
          <w:sz w:val="18"/>
          <w:szCs w:val="18"/>
        </w:rPr>
        <w:instrText>HYPERLINK "https://librerie.unicatt.it/scheda-libro/monica-bianchi-enrico-miglierina-grazia-caterina-messineo/note-di-matematica-9791221116243-3945691.html"</w:instrText>
      </w:r>
      <w:r w:rsidR="00296FA7">
        <w:rPr>
          <w:i/>
          <w:color w:val="0070C0"/>
          <w:sz w:val="18"/>
          <w:szCs w:val="18"/>
        </w:rPr>
      </w:r>
      <w:r w:rsidR="00296FA7">
        <w:rPr>
          <w:i/>
          <w:color w:val="0070C0"/>
          <w:sz w:val="18"/>
          <w:szCs w:val="18"/>
        </w:rPr>
        <w:fldChar w:fldCharType="separate"/>
      </w:r>
      <w:r w:rsidR="00296FA7" w:rsidRPr="00296FA7">
        <w:rPr>
          <w:rStyle w:val="Collegamentoipertestuale"/>
          <w:i/>
          <w:sz w:val="18"/>
          <w:szCs w:val="18"/>
        </w:rPr>
        <w:t>Acquista da VP</w:t>
      </w:r>
      <w:bookmarkEnd w:id="0"/>
      <w:r w:rsidR="00296FA7">
        <w:rPr>
          <w:i/>
          <w:color w:val="0070C0"/>
          <w:sz w:val="18"/>
          <w:szCs w:val="18"/>
        </w:rPr>
        <w:fldChar w:fldCharType="end"/>
      </w:r>
    </w:p>
    <w:p w14:paraId="1F94B9A8" w14:textId="5DE9FF28" w:rsidR="00B21AE8" w:rsidRPr="0027022F" w:rsidRDefault="00B21AE8" w:rsidP="00B21AE8">
      <w:pPr>
        <w:pStyle w:val="Testo1"/>
        <w:spacing w:before="0" w:line="360" w:lineRule="auto"/>
        <w:rPr>
          <w:color w:val="0563C1" w:themeColor="hyperlink"/>
          <w:u w:val="single"/>
        </w:rPr>
      </w:pPr>
      <w:r w:rsidRPr="0027022F">
        <w:rPr>
          <w:smallCaps/>
          <w:sz w:val="16"/>
        </w:rPr>
        <w:t>F. Brega-G. Messineo</w:t>
      </w:r>
      <w:r w:rsidRPr="0027022F">
        <w:t xml:space="preserve">, </w:t>
      </w:r>
      <w:r w:rsidRPr="0027022F">
        <w:rPr>
          <w:i/>
        </w:rPr>
        <w:t>Note di Matematica. Esercizi</w:t>
      </w:r>
      <w:r w:rsidRPr="0027022F">
        <w:t>, Giappichelli, 2023.</w:t>
      </w:r>
      <w:r w:rsidR="00296FA7">
        <w:t xml:space="preserve"> </w:t>
      </w:r>
      <w:hyperlink r:id="rId10" w:history="1">
        <w:r w:rsidR="00296FA7" w:rsidRPr="00296FA7">
          <w:rPr>
            <w:rStyle w:val="Collegamentoipertestuale"/>
            <w:rFonts w:ascii="Times New Roman" w:hAnsi="Times New Roman"/>
            <w:i/>
            <w:szCs w:val="18"/>
          </w:rPr>
          <w:t>Acquista da VP</w:t>
        </w:r>
      </w:hyperlink>
    </w:p>
    <w:p w14:paraId="27A322FF" w14:textId="7B654888" w:rsidR="00B21AE8" w:rsidRPr="0027022F" w:rsidRDefault="00B21AE8" w:rsidP="00B21AE8">
      <w:pPr>
        <w:pStyle w:val="Testo1"/>
        <w:spacing w:before="0" w:line="240" w:lineRule="atLeast"/>
        <w:rPr>
          <w:sz w:val="16"/>
          <w:szCs w:val="16"/>
        </w:rPr>
      </w:pPr>
      <w:r w:rsidRPr="0027022F">
        <w:rPr>
          <w:smallCaps/>
          <w:sz w:val="16"/>
          <w:szCs w:val="16"/>
        </w:rPr>
        <w:t>A. Ballerio, F. Braggion, M. Dettoni, P. Gazzaniga Agradi, G. Messineo, G. Ubiali, S. Vassallo</w:t>
      </w:r>
      <w:r w:rsidRPr="0027022F">
        <w:rPr>
          <w:szCs w:val="18"/>
        </w:rPr>
        <w:t xml:space="preserve">, </w:t>
      </w:r>
      <w:r w:rsidRPr="0027022F">
        <w:rPr>
          <w:i/>
          <w:szCs w:val="18"/>
        </w:rPr>
        <w:t>Note di Matematica: argomenti di base</w:t>
      </w:r>
      <w:r w:rsidRPr="0027022F">
        <w:rPr>
          <w:szCs w:val="18"/>
        </w:rPr>
        <w:t xml:space="preserve">, prima edizione, Giappichelli, 2025 </w:t>
      </w:r>
      <w:r w:rsidR="00296FA7">
        <w:rPr>
          <w:szCs w:val="18"/>
        </w:rPr>
        <w:t xml:space="preserve"> </w:t>
      </w:r>
      <w:hyperlink r:id="rId11" w:history="1">
        <w:r w:rsidR="00296FA7" w:rsidRPr="00296FA7">
          <w:rPr>
            <w:rStyle w:val="Collegamentoipertestuale"/>
            <w:rFonts w:ascii="Times New Roman" w:hAnsi="Times New Roman"/>
            <w:i/>
            <w:szCs w:val="18"/>
          </w:rPr>
          <w:t>Acquista da VP</w:t>
        </w:r>
      </w:hyperlink>
    </w:p>
    <w:p w14:paraId="3882569F" w14:textId="77777777" w:rsidR="00B21AE8" w:rsidRPr="0027022F" w:rsidRDefault="00B21AE8" w:rsidP="00B21AE8">
      <w:pPr>
        <w:pStyle w:val="Testo1"/>
        <w:rPr>
          <w:szCs w:val="18"/>
        </w:rPr>
      </w:pPr>
      <w:r w:rsidRPr="0027022F">
        <w:rPr>
          <w:szCs w:val="18"/>
        </w:rPr>
        <w:t>Letture di approfondimento</w:t>
      </w:r>
    </w:p>
    <w:p w14:paraId="7B41DE43" w14:textId="77777777" w:rsidR="00B21AE8" w:rsidRPr="0027022F" w:rsidRDefault="00B21AE8" w:rsidP="00B21AE8">
      <w:pPr>
        <w:spacing w:line="240" w:lineRule="atLeast"/>
        <w:rPr>
          <w:rFonts w:ascii="Times" w:hAnsi="Times"/>
          <w:b/>
          <w:spacing w:val="-5"/>
          <w:sz w:val="18"/>
          <w:szCs w:val="18"/>
        </w:rPr>
      </w:pPr>
      <w:r w:rsidRPr="0027022F">
        <w:rPr>
          <w:rFonts w:ascii="Times" w:hAnsi="Times"/>
          <w:smallCaps/>
          <w:spacing w:val="-5"/>
          <w:sz w:val="16"/>
          <w:szCs w:val="18"/>
        </w:rPr>
        <w:t>A. Malavolta-A. Campaner</w:t>
      </w:r>
      <w:r w:rsidRPr="0027022F">
        <w:rPr>
          <w:rFonts w:ascii="Times" w:hAnsi="Times"/>
          <w:smallCaps/>
          <w:spacing w:val="-5"/>
          <w:sz w:val="18"/>
          <w:szCs w:val="18"/>
        </w:rPr>
        <w:t>,</w:t>
      </w:r>
      <w:r w:rsidRPr="0027022F">
        <w:rPr>
          <w:rFonts w:ascii="Times" w:hAnsi="Times"/>
          <w:i/>
          <w:spacing w:val="-5"/>
          <w:sz w:val="18"/>
          <w:szCs w:val="18"/>
        </w:rPr>
        <w:t xml:space="preserve"> Raccontare di matematica,</w:t>
      </w:r>
      <w:r w:rsidRPr="0027022F">
        <w:rPr>
          <w:rFonts w:ascii="Times" w:hAnsi="Times"/>
          <w:spacing w:val="-5"/>
          <w:sz w:val="18"/>
          <w:szCs w:val="18"/>
        </w:rPr>
        <w:t xml:space="preserve"> CUSL, Milano, 2016.</w:t>
      </w:r>
    </w:p>
    <w:p w14:paraId="28F89BA4" w14:textId="77777777" w:rsidR="00B21AE8" w:rsidRPr="0027022F" w:rsidRDefault="00B21AE8" w:rsidP="00B21AE8">
      <w:pPr>
        <w:pStyle w:val="Testo1"/>
        <w:spacing w:before="0" w:line="240" w:lineRule="atLeast"/>
        <w:rPr>
          <w:spacing w:val="-5"/>
          <w:szCs w:val="18"/>
        </w:rPr>
      </w:pPr>
      <w:r w:rsidRPr="0027022F">
        <w:rPr>
          <w:smallCaps/>
          <w:spacing w:val="-5"/>
          <w:sz w:val="16"/>
          <w:szCs w:val="18"/>
        </w:rPr>
        <w:t>A. Cicchetti-A. Mainini-D. Polieri</w:t>
      </w:r>
      <w:r w:rsidRPr="0027022F">
        <w:rPr>
          <w:smallCaps/>
          <w:spacing w:val="-5"/>
          <w:szCs w:val="18"/>
        </w:rPr>
        <w:t>,</w:t>
      </w:r>
      <w:r w:rsidRPr="0027022F">
        <w:rPr>
          <w:i/>
          <w:spacing w:val="-5"/>
          <w:szCs w:val="18"/>
        </w:rPr>
        <w:t xml:space="preserve"> Fare della matematica,</w:t>
      </w:r>
      <w:r w:rsidRPr="0027022F">
        <w:rPr>
          <w:spacing w:val="-5"/>
          <w:szCs w:val="18"/>
        </w:rPr>
        <w:t xml:space="preserve"> CUSL, Milano, 2017.</w:t>
      </w:r>
    </w:p>
    <w:p w14:paraId="64779A3F" w14:textId="77777777" w:rsidR="00B21AE8" w:rsidRPr="0027022F" w:rsidRDefault="00B21AE8" w:rsidP="00B21AE8">
      <w:pPr>
        <w:pStyle w:val="Testo1"/>
        <w:spacing w:before="0" w:line="240" w:lineRule="atLeast"/>
        <w:rPr>
          <w:spacing w:val="-5"/>
          <w:szCs w:val="18"/>
        </w:rPr>
      </w:pPr>
      <w:r w:rsidRPr="0027022F">
        <w:rPr>
          <w:smallCaps/>
          <w:spacing w:val="-5"/>
          <w:sz w:val="16"/>
          <w:szCs w:val="18"/>
        </w:rPr>
        <w:t>A. Malavolta</w:t>
      </w:r>
      <w:r w:rsidRPr="0027022F">
        <w:rPr>
          <w:smallCaps/>
          <w:spacing w:val="-5"/>
          <w:szCs w:val="18"/>
        </w:rPr>
        <w:t>,</w:t>
      </w:r>
      <w:r w:rsidRPr="0027022F">
        <w:rPr>
          <w:i/>
          <w:spacing w:val="-5"/>
          <w:szCs w:val="18"/>
        </w:rPr>
        <w:t xml:space="preserve"> Appunti di Matematica generale-equazioni e disequazioni,</w:t>
      </w:r>
      <w:r w:rsidRPr="0027022F">
        <w:rPr>
          <w:spacing w:val="-5"/>
          <w:szCs w:val="18"/>
        </w:rPr>
        <w:t xml:space="preserve"> CUSL, Milano, 2015.</w:t>
      </w:r>
    </w:p>
    <w:p w14:paraId="5B656184" w14:textId="77777777" w:rsidR="00B21AE8" w:rsidRPr="005F733A" w:rsidRDefault="00B21AE8" w:rsidP="00B21AE8">
      <w:pPr>
        <w:pStyle w:val="Testo1"/>
        <w:spacing w:before="0" w:line="240" w:lineRule="atLeast"/>
        <w:rPr>
          <w:spacing w:val="-5"/>
          <w:szCs w:val="18"/>
        </w:rPr>
      </w:pPr>
      <w:r w:rsidRPr="0027022F">
        <w:rPr>
          <w:smallCaps/>
          <w:spacing w:val="-5"/>
          <w:sz w:val="16"/>
          <w:szCs w:val="18"/>
        </w:rPr>
        <w:t>G.C. Barozzi-C. Corradi</w:t>
      </w:r>
      <w:r w:rsidRPr="0027022F">
        <w:rPr>
          <w:smallCaps/>
          <w:spacing w:val="-5"/>
          <w:szCs w:val="18"/>
        </w:rPr>
        <w:t>,</w:t>
      </w:r>
      <w:r w:rsidRPr="0027022F">
        <w:rPr>
          <w:i/>
          <w:spacing w:val="-5"/>
          <w:szCs w:val="18"/>
        </w:rPr>
        <w:t xml:space="preserve"> Matematica generale per le scienze economiche,</w:t>
      </w:r>
      <w:r w:rsidRPr="005F733A">
        <w:rPr>
          <w:spacing w:val="-5"/>
          <w:szCs w:val="18"/>
        </w:rPr>
        <w:t xml:space="preserve"> Il Mulino, Bologna, 1999.</w:t>
      </w:r>
    </w:p>
    <w:p w14:paraId="5B5ADDBE" w14:textId="77777777" w:rsidR="00B21AE8" w:rsidRPr="005F733A" w:rsidRDefault="00B21AE8" w:rsidP="00B21AE8">
      <w:pPr>
        <w:pStyle w:val="Testo1"/>
        <w:spacing w:before="0" w:line="240" w:lineRule="atLeast"/>
        <w:rPr>
          <w:spacing w:val="-5"/>
          <w:szCs w:val="18"/>
        </w:rPr>
      </w:pPr>
      <w:r w:rsidRPr="002B5B6D">
        <w:rPr>
          <w:smallCaps/>
          <w:spacing w:val="-5"/>
          <w:sz w:val="16"/>
          <w:szCs w:val="18"/>
        </w:rPr>
        <w:t>V.E. Bononcini-G. Fanti</w:t>
      </w:r>
      <w:r w:rsidRPr="005F733A">
        <w:rPr>
          <w:smallCaps/>
          <w:spacing w:val="-5"/>
          <w:szCs w:val="18"/>
        </w:rPr>
        <w:t>,</w:t>
      </w:r>
      <w:r w:rsidRPr="005F733A">
        <w:rPr>
          <w:i/>
          <w:spacing w:val="-5"/>
          <w:szCs w:val="18"/>
        </w:rPr>
        <w:t xml:space="preserve"> Esercizi di analisi matematica,</w:t>
      </w:r>
      <w:r w:rsidRPr="005F733A">
        <w:rPr>
          <w:spacing w:val="-5"/>
          <w:szCs w:val="18"/>
        </w:rPr>
        <w:t xml:space="preserve"> CEDAM, Padova, 1970 (vol I).</w:t>
      </w:r>
    </w:p>
    <w:p w14:paraId="47F9A53A" w14:textId="77777777" w:rsidR="00B21AE8" w:rsidRPr="005F733A" w:rsidRDefault="00B21AE8" w:rsidP="00B21AE8">
      <w:pPr>
        <w:spacing w:before="240" w:after="120"/>
        <w:rPr>
          <w:b/>
          <w:i/>
          <w:sz w:val="18"/>
          <w:szCs w:val="18"/>
        </w:rPr>
      </w:pPr>
      <w:r w:rsidRPr="005F733A">
        <w:rPr>
          <w:b/>
          <w:i/>
          <w:sz w:val="18"/>
          <w:szCs w:val="18"/>
        </w:rPr>
        <w:lastRenderedPageBreak/>
        <w:t>DIDATTICA DEL CORSO</w:t>
      </w:r>
    </w:p>
    <w:p w14:paraId="4F448ECA" w14:textId="77777777" w:rsidR="00B21AE8" w:rsidRPr="005F733A" w:rsidRDefault="00B21AE8" w:rsidP="00B21AE8">
      <w:pPr>
        <w:pStyle w:val="Testo2"/>
        <w:rPr>
          <w:szCs w:val="18"/>
        </w:rPr>
      </w:pPr>
      <w:r w:rsidRPr="005F733A">
        <w:rPr>
          <w:szCs w:val="18"/>
        </w:rPr>
        <w:t>Lezioni, esercitazioni, precorsi, tutti in aula, tutoring, correzioni esercizi assegnati, seminari residenziali facoltativi.</w:t>
      </w:r>
    </w:p>
    <w:p w14:paraId="1426CABB" w14:textId="77777777" w:rsidR="00B21AE8" w:rsidRPr="005F733A" w:rsidRDefault="00B21AE8" w:rsidP="00B21AE8">
      <w:pPr>
        <w:spacing w:before="240" w:after="120"/>
        <w:rPr>
          <w:b/>
          <w:i/>
          <w:sz w:val="18"/>
          <w:szCs w:val="18"/>
        </w:rPr>
      </w:pPr>
      <w:r w:rsidRPr="005F733A">
        <w:rPr>
          <w:b/>
          <w:i/>
          <w:sz w:val="18"/>
          <w:szCs w:val="18"/>
        </w:rPr>
        <w:t>METODO E CRITERI DI VALUTAZIONE</w:t>
      </w:r>
    </w:p>
    <w:p w14:paraId="2F3C1844" w14:textId="77777777" w:rsidR="00B21AE8" w:rsidRPr="00006980" w:rsidRDefault="00B21AE8" w:rsidP="00B21AE8">
      <w:pPr>
        <w:spacing w:before="240" w:after="120"/>
        <w:ind w:firstLine="284"/>
        <w:rPr>
          <w:bCs/>
          <w:sz w:val="18"/>
          <w:szCs w:val="18"/>
        </w:rPr>
      </w:pPr>
      <w:r w:rsidRPr="00006980">
        <w:rPr>
          <w:bCs/>
          <w:sz w:val="18"/>
          <w:szCs w:val="18"/>
        </w:rPr>
        <w:t>L’esame è volto a valutare capacità di ragionamento sui temi oggetto del corso, abilità di comprensione del linguaggio matematico e di applicazione di metodi risolutivi di problematiche discusse nel corso.</w:t>
      </w:r>
    </w:p>
    <w:p w14:paraId="2F7BA240" w14:textId="77777777" w:rsidR="00B21AE8" w:rsidRPr="00006980" w:rsidRDefault="00B21AE8" w:rsidP="00B21AE8">
      <w:pPr>
        <w:pStyle w:val="Testo2"/>
        <w:numPr>
          <w:ilvl w:val="0"/>
          <w:numId w:val="2"/>
        </w:numPr>
        <w:rPr>
          <w:szCs w:val="18"/>
        </w:rPr>
      </w:pPr>
      <w:r w:rsidRPr="00006980">
        <w:rPr>
          <w:szCs w:val="18"/>
        </w:rPr>
        <w:t xml:space="preserve">Gli studenti che all’atto della iscrizione hanno ricevuto Obblighi Formativi Aggiuntivi (OFA), ossia studenti che nel test di accesso alla Facoltà di Economia non hanno risposto correttamente ad almeno 7 domande nella sezione di Matematica, dovranno sostenere </w:t>
      </w:r>
      <w:r w:rsidRPr="00006980">
        <w:rPr>
          <w:i/>
          <w:iCs/>
          <w:szCs w:val="18"/>
        </w:rPr>
        <w:t>una verifica finale OFA</w:t>
      </w:r>
      <w:r w:rsidRPr="00006980">
        <w:rPr>
          <w:szCs w:val="18"/>
        </w:rPr>
        <w:t xml:space="preserve"> volta ad accertare il possesso delle conoscenze di base. Il superamento della verifica finale è condizione indispensabile per sostenere la successiva prova scritta. La verifica finale è composta da 12 domande a risposta chiusa da un punto l’una senza penalità. Per superarla è necessario rispondere correttamente ad almeno 7 domande. </w:t>
      </w:r>
    </w:p>
    <w:p w14:paraId="350C37E9" w14:textId="77777777" w:rsidR="00B21AE8" w:rsidRPr="00006980" w:rsidRDefault="00B21AE8" w:rsidP="00B21AE8">
      <w:pPr>
        <w:pStyle w:val="Paragrafoelenco"/>
        <w:numPr>
          <w:ilvl w:val="0"/>
          <w:numId w:val="2"/>
        </w:numPr>
        <w:tabs>
          <w:tab w:val="clear" w:pos="284"/>
        </w:tabs>
        <w:spacing w:before="120" w:after="120" w:line="240" w:lineRule="auto"/>
        <w:rPr>
          <w:sz w:val="18"/>
          <w:szCs w:val="18"/>
        </w:rPr>
      </w:pPr>
      <w:r w:rsidRPr="00006980">
        <w:rPr>
          <w:bCs/>
          <w:sz w:val="18"/>
          <w:szCs w:val="18"/>
        </w:rPr>
        <w:t xml:space="preserve">La valutazione dell’esame avviene mediante una </w:t>
      </w:r>
      <w:r w:rsidRPr="00006980">
        <w:rPr>
          <w:i/>
          <w:sz w:val="18"/>
          <w:szCs w:val="18"/>
        </w:rPr>
        <w:t>prova scritta</w:t>
      </w:r>
      <w:r w:rsidRPr="00006980">
        <w:rPr>
          <w:bCs/>
          <w:sz w:val="18"/>
          <w:szCs w:val="18"/>
        </w:rPr>
        <w:t xml:space="preserve">. </w:t>
      </w:r>
      <w:r w:rsidRPr="00006980">
        <w:rPr>
          <w:sz w:val="18"/>
          <w:szCs w:val="18"/>
        </w:rPr>
        <w:t xml:space="preserve">La </w:t>
      </w:r>
      <w:r w:rsidRPr="00006980">
        <w:rPr>
          <w:i/>
          <w:sz w:val="18"/>
          <w:szCs w:val="18"/>
        </w:rPr>
        <w:t>prova scritta</w:t>
      </w:r>
      <w:r w:rsidRPr="00006980">
        <w:rPr>
          <w:sz w:val="18"/>
          <w:szCs w:val="18"/>
        </w:rPr>
        <w:t xml:space="preserve"> è divisa in due moduli dalla identica struttura sulle due parti di esame relative alle prime e alle ultime sei settimane di corso, entrambe della durata di 1 ora e da sostenersi una dopo l’altra nello stesso appello. Ogni singola prova, dal punteggio complessivo di 16 punti, è strutturata con domande a risposta chiusa, sia teoriche che numeriche, per un punteggio complessivo di 10 punti ed esercizi in forma aperta per un punteggio complessivo di 6 punti. </w:t>
      </w:r>
    </w:p>
    <w:p w14:paraId="30C9A423" w14:textId="77777777" w:rsidR="00B21AE8" w:rsidRPr="0027022F" w:rsidRDefault="00B21AE8" w:rsidP="00B21AE8">
      <w:pPr>
        <w:pStyle w:val="Paragrafoelenco"/>
        <w:spacing w:before="120" w:after="120"/>
        <w:ind w:left="644"/>
        <w:rPr>
          <w:sz w:val="18"/>
          <w:szCs w:val="18"/>
        </w:rPr>
      </w:pPr>
      <w:r w:rsidRPr="00006980">
        <w:rPr>
          <w:sz w:val="18"/>
          <w:szCs w:val="18"/>
        </w:rPr>
        <w:t xml:space="preserve">A ciascuna domanda a risposta multipla viene assegnato punteggio pieno in caso di risposta corretta e non viene attribuito punteggio o penalizzazione in caso di risposte mancanti. Negli esercizi aperti viene invece valutato anche il procedimento per arrivare alla soluzione e le motivazioni fornite alla stessa; in questo caso viene assegnato il punteggio pieno quando la soluzione è corretta, adeguatamente motivata mediante il procedimento necessario per ottenerla, mentre in caso di risposte </w:t>
      </w:r>
      <w:r w:rsidRPr="0027022F">
        <w:rPr>
          <w:sz w:val="18"/>
          <w:szCs w:val="18"/>
        </w:rPr>
        <w:t xml:space="preserve">incomplete o parzialmente corrette verrà assegnato un punteggio inferiore al punteggio completo. </w:t>
      </w:r>
    </w:p>
    <w:p w14:paraId="42AA98EC" w14:textId="77777777" w:rsidR="00B21AE8" w:rsidRPr="0027022F" w:rsidRDefault="00B21AE8" w:rsidP="00B21AE8">
      <w:pPr>
        <w:pStyle w:val="Paragrafoelenco"/>
        <w:spacing w:before="120" w:after="120"/>
        <w:ind w:left="644"/>
        <w:rPr>
          <w:sz w:val="18"/>
          <w:szCs w:val="18"/>
        </w:rPr>
      </w:pPr>
      <w:r w:rsidRPr="0027022F">
        <w:rPr>
          <w:sz w:val="18"/>
          <w:szCs w:val="18"/>
        </w:rPr>
        <w:t xml:space="preserve">Il voto finale è dato dalla somma dei punteggi conseguiti nei due moduli. L’esame si considera superato se il voto finale risulta maggiore o uguale a 18 e se, in ognuno dei due moduli, si sono ottenuti almeno 4 punti nella parte A) di domande a risposte in forma chiusa. </w:t>
      </w:r>
    </w:p>
    <w:p w14:paraId="25B97725" w14:textId="77777777" w:rsidR="00B21AE8" w:rsidRPr="0027022F" w:rsidRDefault="00B21AE8" w:rsidP="00B21AE8">
      <w:pPr>
        <w:pStyle w:val="Paragrafoelenco"/>
        <w:spacing w:before="120" w:after="120"/>
        <w:ind w:left="644"/>
        <w:rPr>
          <w:rFonts w:ascii="Times" w:hAnsi="Times" w:cs="Times"/>
          <w:sz w:val="18"/>
          <w:szCs w:val="18"/>
        </w:rPr>
      </w:pPr>
      <w:r w:rsidRPr="0027022F">
        <w:rPr>
          <w:rFonts w:ascii="Times" w:hAnsi="Times" w:cs="Times"/>
          <w:sz w:val="18"/>
          <w:szCs w:val="18"/>
        </w:rPr>
        <w:t>I soli studenti che riportano nella prova scritta un punteggio pari a 16 o 17 potranno chiedere di sostenere una prova orale (non integrativa) nello stesso appello per raggiungere la sufficienza. Maggiori informazioni saranno fornite all’inizio del corso.</w:t>
      </w:r>
    </w:p>
    <w:p w14:paraId="571C7F03" w14:textId="77777777" w:rsidR="00B21AE8" w:rsidRPr="00006980" w:rsidRDefault="00B21AE8" w:rsidP="00B21AE8">
      <w:pPr>
        <w:pStyle w:val="Paragrafoelenco"/>
        <w:spacing w:before="120" w:after="120"/>
        <w:ind w:left="644"/>
        <w:rPr>
          <w:sz w:val="18"/>
          <w:szCs w:val="18"/>
        </w:rPr>
      </w:pPr>
      <w:r w:rsidRPr="0027022F">
        <w:rPr>
          <w:sz w:val="18"/>
          <w:szCs w:val="18"/>
        </w:rPr>
        <w:lastRenderedPageBreak/>
        <w:t>Con le domande a risposta chiusa si testa la conoscenza delle nozioni fondamentali e la capacità</w:t>
      </w:r>
      <w:r w:rsidRPr="0027022F">
        <w:rPr>
          <w:rFonts w:ascii="Arial" w:hAnsi="Arial" w:cs="Arial"/>
          <w:color w:val="333333"/>
          <w:sz w:val="18"/>
          <w:szCs w:val="18"/>
          <w:shd w:val="clear" w:color="auto" w:fill="FFFFFF"/>
        </w:rPr>
        <w:t xml:space="preserve"> </w:t>
      </w:r>
      <w:r w:rsidRPr="0027022F">
        <w:rPr>
          <w:sz w:val="18"/>
          <w:szCs w:val="18"/>
        </w:rPr>
        <w:t>dello studente di trattare, capire ed applicare gli strumenti matematici appresi. Gli esercizi a risposta aperta valutano la capacità di affrontare un problema più strutturato esponendo in modo sequenzialmente corretto i passaggi logici necessari per arrivare alla soluzione.</w:t>
      </w:r>
      <w:r w:rsidRPr="00006980">
        <w:rPr>
          <w:sz w:val="18"/>
          <w:szCs w:val="18"/>
        </w:rPr>
        <w:t xml:space="preserve"> </w:t>
      </w:r>
    </w:p>
    <w:p w14:paraId="7B41753F" w14:textId="77777777" w:rsidR="00B21AE8" w:rsidRPr="00006980" w:rsidRDefault="00B21AE8" w:rsidP="00B21AE8">
      <w:pPr>
        <w:pStyle w:val="Paragrafoelenco"/>
        <w:spacing w:before="120" w:after="120"/>
        <w:ind w:left="644"/>
        <w:rPr>
          <w:sz w:val="18"/>
          <w:szCs w:val="18"/>
        </w:rPr>
      </w:pPr>
      <w:r w:rsidRPr="00006980">
        <w:rPr>
          <w:sz w:val="18"/>
          <w:szCs w:val="18"/>
        </w:rPr>
        <w:t>L'effettivo raggiungimento dei risultati di apprendimento attesi verrà verificato tenendo conto dei seguenti parametri di valutazione: (i) comprensione della natura del problema matematico e abilità nella soluzione; (ii)</w:t>
      </w:r>
      <w:r w:rsidRPr="00006980">
        <w:rPr>
          <w:rFonts w:ascii="Arial" w:hAnsi="Arial" w:cs="Arial"/>
          <w:color w:val="333333"/>
          <w:sz w:val="18"/>
          <w:szCs w:val="18"/>
        </w:rPr>
        <w:t xml:space="preserve"> </w:t>
      </w:r>
      <w:r w:rsidRPr="00006980">
        <w:rPr>
          <w:sz w:val="18"/>
          <w:szCs w:val="18"/>
        </w:rPr>
        <w:t>esposizione rigorosa, chiara e senza ambiguità.</w:t>
      </w:r>
    </w:p>
    <w:p w14:paraId="29F1830E" w14:textId="77777777" w:rsidR="00B21AE8" w:rsidRPr="00006980" w:rsidRDefault="00B21AE8" w:rsidP="00B21AE8">
      <w:pPr>
        <w:pStyle w:val="Testo2"/>
        <w:numPr>
          <w:ilvl w:val="0"/>
          <w:numId w:val="2"/>
        </w:numPr>
        <w:rPr>
          <w:szCs w:val="18"/>
        </w:rPr>
      </w:pPr>
      <w:r w:rsidRPr="00006980">
        <w:rPr>
          <w:szCs w:val="18"/>
        </w:rPr>
        <w:t xml:space="preserve">La prova scritta può anche essere sostituita da due </w:t>
      </w:r>
      <w:r w:rsidRPr="00006980">
        <w:rPr>
          <w:i/>
          <w:szCs w:val="18"/>
        </w:rPr>
        <w:t>prove parziali</w:t>
      </w:r>
      <w:r w:rsidRPr="00006980">
        <w:rPr>
          <w:szCs w:val="18"/>
        </w:rPr>
        <w:t xml:space="preserve"> che contribuiscono equamente alla determinazione del voto finale - prova intermedia durante la settimana di sospensione delle lezioni del primo semestre e prova di completamento nella sessione d’esame di gennaio-febbraio -  alle quali possono partecipare tutti gli studenti, anche di anni successivi, purché abbiano recuperato eventuali OFA. Indicazioni dettagliate riguardo alle modalità delle suddette prove saranno rese disponibili in Blackboard.</w:t>
      </w:r>
    </w:p>
    <w:p w14:paraId="1E6B9718" w14:textId="77777777" w:rsidR="00B21AE8" w:rsidRDefault="00B21AE8" w:rsidP="00B21AE8">
      <w:pPr>
        <w:spacing w:before="120" w:after="120"/>
        <w:ind w:firstLine="284"/>
        <w:rPr>
          <w:bCs/>
        </w:rPr>
      </w:pPr>
      <w:r w:rsidRPr="00006980">
        <w:rPr>
          <w:sz w:val="18"/>
          <w:szCs w:val="18"/>
        </w:rPr>
        <w:t xml:space="preserve"> Indicazioni più dettagliate, sia sulle prove di esame che su quella intermedia, sono reperibili sulla pagina personale dei docenti.</w:t>
      </w:r>
    </w:p>
    <w:p w14:paraId="583078D2" w14:textId="77777777" w:rsidR="00B21AE8" w:rsidRDefault="00B21AE8" w:rsidP="00B21AE8">
      <w:pPr>
        <w:spacing w:before="240" w:after="120" w:line="240" w:lineRule="exact"/>
        <w:rPr>
          <w:b/>
          <w:i/>
          <w:sz w:val="18"/>
        </w:rPr>
      </w:pPr>
      <w:r>
        <w:rPr>
          <w:b/>
          <w:i/>
          <w:sz w:val="18"/>
        </w:rPr>
        <w:t>AVVERTENZE E PREREQUISITI</w:t>
      </w:r>
    </w:p>
    <w:p w14:paraId="253E8EFB" w14:textId="0C27047F" w:rsidR="00467128" w:rsidRPr="00E40E6C" w:rsidRDefault="0069198D" w:rsidP="00467128">
      <w:pPr>
        <w:pStyle w:val="Testo2"/>
      </w:pPr>
      <w:r w:rsidRPr="00E40E6C">
        <w:t>Prerequisiti</w:t>
      </w:r>
    </w:p>
    <w:p w14:paraId="156379CA" w14:textId="09144D28" w:rsidR="0069198D" w:rsidRPr="0027022F" w:rsidRDefault="0069198D" w:rsidP="0069198D">
      <w:pPr>
        <w:pStyle w:val="Testo2"/>
        <w:rPr>
          <w:i/>
        </w:rPr>
      </w:pPr>
      <w:r w:rsidRPr="00E40E6C">
        <w:rPr>
          <w:i/>
        </w:rPr>
        <w:t xml:space="preserve">Insiemi numerici N, Z, Q, R. Cenni di logica e di teoria degli insiemi. Calcolo algebrico. Potenze, logaritmi, esponenziali. Equazioni e disequazioni algebriche (intere e fratte), </w:t>
      </w:r>
      <w:r w:rsidRPr="0027022F">
        <w:rPr>
          <w:i/>
        </w:rPr>
        <w:t>irrazionali, logaritmiche ed esponenziali. Sistemi di equazioni e disequazioni. Geometria analitica piana. Cenni di goniometria.</w:t>
      </w:r>
    </w:p>
    <w:p w14:paraId="244404CA" w14:textId="77777777" w:rsidR="0069198D" w:rsidRPr="0027022F" w:rsidRDefault="0069198D" w:rsidP="0069198D">
      <w:pPr>
        <w:pStyle w:val="Testo2"/>
      </w:pPr>
      <w:r w:rsidRPr="0027022F">
        <w:t xml:space="preserve">I prerequisiti costituiscono parte integrante del programma d’esame e vengono trattati   nei Corsi OFA di Matematica. Gli studenti che hanno ricevuto un Obbligo Formativo Aggiuntivo (OFA), per il recupero degli OFA devono maturare la frequenza di almeno il 70% delle lezioni di uno dei corsi OFA e superare la verifica finale OFA. Il test che costituisce la verifica finale, una volta superato non deve più essere ripetuto. Il calendario dei corsi OFA e le date in cui sarà possibile sostenere la verifica finale saranno disponibili sul sito di Facoltà e comunicati in Blackboard.  </w:t>
      </w:r>
    </w:p>
    <w:p w14:paraId="566844F5" w14:textId="3C5915C5" w:rsidR="00B21AE8" w:rsidRDefault="0069198D" w:rsidP="0069198D">
      <w:pPr>
        <w:pStyle w:val="Testo2"/>
        <w:spacing w:before="120"/>
        <w:ind w:firstLine="0"/>
        <w:rPr>
          <w:rStyle w:val="y2iqfc"/>
          <w:rFonts w:cs="Times"/>
          <w:szCs w:val="18"/>
        </w:rPr>
      </w:pPr>
      <w:r w:rsidRPr="0027022F">
        <w:t xml:space="preserve">Per ripassare gli argomenti propedeutici è disponibile anche il precorso on-line TEOREMA </w:t>
      </w:r>
      <w:r w:rsidRPr="0027022F">
        <w:rPr>
          <w:rStyle w:val="y2iqfc"/>
          <w:rFonts w:cs="Times"/>
          <w:szCs w:val="18"/>
        </w:rPr>
        <w:t>(</w:t>
      </w:r>
      <w:hyperlink r:id="rId12" w:history="1">
        <w:r w:rsidR="0027022F" w:rsidRPr="008F6511">
          <w:rPr>
            <w:rStyle w:val="Collegamentoipertestuale"/>
            <w:rFonts w:cs="Times"/>
            <w:szCs w:val="18"/>
          </w:rPr>
          <w:t>https://elearning.teorema.cineca.it/</w:t>
        </w:r>
      </w:hyperlink>
      <w:r w:rsidRPr="0027022F">
        <w:rPr>
          <w:rStyle w:val="y2iqfc"/>
          <w:rFonts w:cs="Times"/>
          <w:szCs w:val="18"/>
        </w:rPr>
        <w:t>).</w:t>
      </w:r>
    </w:p>
    <w:p w14:paraId="5D1EF9D8" w14:textId="77777777" w:rsidR="0027022F" w:rsidRPr="0027022F" w:rsidRDefault="0027022F" w:rsidP="0027022F">
      <w:pPr>
        <w:pStyle w:val="Testo2"/>
        <w:rPr>
          <w:i/>
          <w:iCs/>
        </w:rPr>
      </w:pPr>
      <w:r w:rsidRPr="0027022F">
        <w:rPr>
          <w:i/>
          <w:iCs/>
        </w:rPr>
        <w:t xml:space="preserve">Prove finali </w:t>
      </w:r>
    </w:p>
    <w:p w14:paraId="0863A96A" w14:textId="77777777" w:rsidR="0027022F" w:rsidRPr="009C47F1" w:rsidRDefault="0027022F" w:rsidP="0027022F">
      <w:pPr>
        <w:pStyle w:val="Testo2"/>
      </w:pPr>
      <w:r w:rsidRPr="0027022F">
        <w:t>Per lo svolgimento della tesi triennale, i docenti di matematica non richiedono competenze particolari, se non una buona predisposizione verso la materia ed un interesse per il ragionamento formale. La tesi, infatti, consiste generalmente nell’approfondimento teorico degli argomenti trattati durante il corso e nella loro applicazione in ambito economico e finanziario.</w:t>
      </w:r>
    </w:p>
    <w:p w14:paraId="5D5E4077" w14:textId="5B8C9F27" w:rsidR="0069198D" w:rsidRPr="0027022F" w:rsidRDefault="00B21AE8" w:rsidP="00467128">
      <w:pPr>
        <w:pStyle w:val="Testo2"/>
        <w:spacing w:before="120"/>
        <w:rPr>
          <w:i/>
          <w:iCs/>
        </w:rPr>
      </w:pPr>
      <w:r w:rsidRPr="0027022F">
        <w:rPr>
          <w:i/>
          <w:iCs/>
        </w:rPr>
        <w:lastRenderedPageBreak/>
        <w:t>Orario e luogo di ricevimento</w:t>
      </w:r>
    </w:p>
    <w:p w14:paraId="28EDA603" w14:textId="554D0F44" w:rsidR="0069198D" w:rsidRPr="0027022F" w:rsidRDefault="00B21AE8" w:rsidP="00467128">
      <w:pPr>
        <w:pStyle w:val="Testo2"/>
      </w:pPr>
      <w:r w:rsidRPr="0027022F">
        <w:t>Prof. Francesco Battistoni:  il ricevimento si terrà su appuntamento da fissare via e-mail (francesco.battistoni@unicatt.it)  online oppure presso lo studio n. 211B, secondo piano dell’edificio di via Necchi 9.</w:t>
      </w:r>
    </w:p>
    <w:p w14:paraId="6C0057B0" w14:textId="77777777" w:rsidR="00B21AE8" w:rsidRPr="0027022F" w:rsidRDefault="00B21AE8" w:rsidP="00B21AE8">
      <w:pPr>
        <w:pStyle w:val="Testo2"/>
      </w:pPr>
      <w:r w:rsidRPr="0027022F">
        <w:t>Prof.ssa  Lorenza Montalbetti:  il ricevimento si terrà su appuntamento da fissare via e-mail (lorenza.montalbetti@unicatt.it) online oppure presso lo studio n. 224 secondo piano dell’edificio di via Necchi 9.</w:t>
      </w:r>
    </w:p>
    <w:p w14:paraId="6430EAF4" w14:textId="77777777" w:rsidR="00B21AE8" w:rsidRPr="0027022F" w:rsidRDefault="00B21AE8" w:rsidP="00B21AE8">
      <w:pPr>
        <w:pStyle w:val="Testo2"/>
        <w:rPr>
          <w:smallCaps/>
        </w:rPr>
      </w:pPr>
    </w:p>
    <w:sectPr w:rsidR="00B21AE8" w:rsidRPr="0027022F" w:rsidSect="004D1217">
      <w:pgSz w:w="11906" w:h="16838" w:code="9"/>
      <w:pgMar w:top="3515" w:right="2608" w:bottom="3515"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4CE283" w14:textId="77777777" w:rsidR="00A33606" w:rsidRDefault="00A33606" w:rsidP="00296FA7">
      <w:pPr>
        <w:spacing w:line="240" w:lineRule="auto"/>
      </w:pPr>
      <w:r>
        <w:separator/>
      </w:r>
    </w:p>
  </w:endnote>
  <w:endnote w:type="continuationSeparator" w:id="0">
    <w:p w14:paraId="20B41686" w14:textId="77777777" w:rsidR="00A33606" w:rsidRDefault="00A33606" w:rsidP="00296FA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07E87A" w14:textId="77777777" w:rsidR="00A33606" w:rsidRDefault="00A33606" w:rsidP="00296FA7">
      <w:pPr>
        <w:spacing w:line="240" w:lineRule="auto"/>
      </w:pPr>
      <w:r>
        <w:separator/>
      </w:r>
    </w:p>
  </w:footnote>
  <w:footnote w:type="continuationSeparator" w:id="0">
    <w:p w14:paraId="59EEAF75" w14:textId="77777777" w:rsidR="00A33606" w:rsidRDefault="00A33606" w:rsidP="00296FA7">
      <w:pPr>
        <w:spacing w:line="240" w:lineRule="auto"/>
      </w:pPr>
      <w:r>
        <w:continuationSeparator/>
      </w:r>
    </w:p>
  </w:footnote>
  <w:footnote w:id="1">
    <w:p w14:paraId="33A6B346" w14:textId="3FD0D8EC" w:rsidR="00296FA7" w:rsidRDefault="00296FA7">
      <w:pPr>
        <w:pStyle w:val="Testonotaapidipagina"/>
      </w:pPr>
      <w:r>
        <w:rPr>
          <w:rStyle w:val="Rimandonotaapidipagina"/>
        </w:rPr>
        <w:footnoteRef/>
      </w:r>
      <w:r>
        <w:t xml:space="preserve"> </w:t>
      </w:r>
      <w:r w:rsidRPr="001D7759">
        <w:rPr>
          <w:sz w:val="16"/>
          <w:szCs w:val="16"/>
        </w:rPr>
        <w:t xml:space="preserve">I testi indicati nella bibliografia sono acquistabili presso le librerie di Ateneo; è possibile acquistarli </w:t>
      </w:r>
      <w:r>
        <w:rPr>
          <w:sz w:val="16"/>
          <w:szCs w:val="16"/>
        </w:rPr>
        <w:t>anche presso altri rivenditori.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B50C34"/>
    <w:multiLevelType w:val="hybridMultilevel"/>
    <w:tmpl w:val="7434601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7C9E067A"/>
    <w:multiLevelType w:val="hybridMultilevel"/>
    <w:tmpl w:val="C4126A08"/>
    <w:lvl w:ilvl="0" w:tplc="5F188EEE">
      <w:start w:val="1"/>
      <w:numFmt w:val="decimal"/>
      <w:lvlText w:val="%1)"/>
      <w:lvlJc w:val="left"/>
      <w:pPr>
        <w:ind w:left="644" w:hanging="360"/>
      </w:pPr>
    </w:lvl>
    <w:lvl w:ilvl="1" w:tplc="04100019">
      <w:start w:val="1"/>
      <w:numFmt w:val="lowerLetter"/>
      <w:lvlText w:val="%2."/>
      <w:lvlJc w:val="left"/>
      <w:pPr>
        <w:ind w:left="1364" w:hanging="360"/>
      </w:pPr>
    </w:lvl>
    <w:lvl w:ilvl="2" w:tplc="0410001B">
      <w:start w:val="1"/>
      <w:numFmt w:val="lowerRoman"/>
      <w:lvlText w:val="%3."/>
      <w:lvlJc w:val="right"/>
      <w:pPr>
        <w:ind w:left="2084" w:hanging="180"/>
      </w:pPr>
    </w:lvl>
    <w:lvl w:ilvl="3" w:tplc="0410000F">
      <w:start w:val="1"/>
      <w:numFmt w:val="decimal"/>
      <w:lvlText w:val="%4."/>
      <w:lvlJc w:val="left"/>
      <w:pPr>
        <w:ind w:left="2804" w:hanging="360"/>
      </w:pPr>
    </w:lvl>
    <w:lvl w:ilvl="4" w:tplc="04100019">
      <w:start w:val="1"/>
      <w:numFmt w:val="lowerLetter"/>
      <w:lvlText w:val="%5."/>
      <w:lvlJc w:val="left"/>
      <w:pPr>
        <w:ind w:left="3524" w:hanging="360"/>
      </w:pPr>
    </w:lvl>
    <w:lvl w:ilvl="5" w:tplc="0410001B">
      <w:start w:val="1"/>
      <w:numFmt w:val="lowerRoman"/>
      <w:lvlText w:val="%6."/>
      <w:lvlJc w:val="right"/>
      <w:pPr>
        <w:ind w:left="4244" w:hanging="180"/>
      </w:pPr>
    </w:lvl>
    <w:lvl w:ilvl="6" w:tplc="0410000F">
      <w:start w:val="1"/>
      <w:numFmt w:val="decimal"/>
      <w:lvlText w:val="%7."/>
      <w:lvlJc w:val="left"/>
      <w:pPr>
        <w:ind w:left="4964" w:hanging="360"/>
      </w:pPr>
    </w:lvl>
    <w:lvl w:ilvl="7" w:tplc="04100019">
      <w:start w:val="1"/>
      <w:numFmt w:val="lowerLetter"/>
      <w:lvlText w:val="%8."/>
      <w:lvlJc w:val="left"/>
      <w:pPr>
        <w:ind w:left="5684" w:hanging="360"/>
      </w:pPr>
    </w:lvl>
    <w:lvl w:ilvl="8" w:tplc="0410001B">
      <w:start w:val="1"/>
      <w:numFmt w:val="lowerRoman"/>
      <w:lvlText w:val="%9."/>
      <w:lvlJc w:val="right"/>
      <w:pPr>
        <w:ind w:left="6404" w:hanging="180"/>
      </w:pPr>
    </w:lvl>
  </w:abstractNum>
  <w:num w:numId="1" w16cid:durableId="1877814740">
    <w:abstractNumId w:val="0"/>
  </w:num>
  <w:num w:numId="2" w16cid:durableId="2416485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AE8"/>
    <w:rsid w:val="00074B3B"/>
    <w:rsid w:val="0027022F"/>
    <w:rsid w:val="00296FA7"/>
    <w:rsid w:val="00467128"/>
    <w:rsid w:val="0069198D"/>
    <w:rsid w:val="00776539"/>
    <w:rsid w:val="00A33606"/>
    <w:rsid w:val="00A6108F"/>
    <w:rsid w:val="00A95F7E"/>
    <w:rsid w:val="00B21AE8"/>
    <w:rsid w:val="00F04C5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0E064"/>
  <w15:chartTrackingRefBased/>
  <w15:docId w15:val="{186C3934-FC38-4A18-8913-88DD4A192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21AE8"/>
    <w:pPr>
      <w:tabs>
        <w:tab w:val="left" w:pos="284"/>
      </w:tabs>
      <w:spacing w:after="0" w:line="220" w:lineRule="exact"/>
      <w:jc w:val="both"/>
    </w:pPr>
    <w:rPr>
      <w:rFonts w:ascii="Times New Roman" w:eastAsia="Times New Roman" w:hAnsi="Times New Roman" w:cs="Times New Roman"/>
      <w:sz w:val="20"/>
      <w:szCs w:val="24"/>
      <w:lang w:eastAsia="it-IT"/>
    </w:rPr>
  </w:style>
  <w:style w:type="paragraph" w:styleId="Titolo1">
    <w:name w:val="heading 1"/>
    <w:next w:val="Titolo2"/>
    <w:link w:val="Titolo1Carattere"/>
    <w:qFormat/>
    <w:rsid w:val="00B21AE8"/>
    <w:pPr>
      <w:spacing w:before="480" w:after="0" w:line="240" w:lineRule="exact"/>
      <w:ind w:left="284" w:hanging="284"/>
      <w:jc w:val="both"/>
      <w:outlineLvl w:val="0"/>
    </w:pPr>
    <w:rPr>
      <w:rFonts w:ascii="Times" w:eastAsia="Times New Roman" w:hAnsi="Times" w:cs="Times New Roman"/>
      <w:b/>
      <w:noProof/>
      <w:sz w:val="20"/>
      <w:szCs w:val="20"/>
      <w:lang w:eastAsia="it-IT"/>
    </w:rPr>
  </w:style>
  <w:style w:type="paragraph" w:styleId="Titolo2">
    <w:name w:val="heading 2"/>
    <w:next w:val="Titolo3"/>
    <w:link w:val="Titolo2Carattere"/>
    <w:qFormat/>
    <w:rsid w:val="00B21AE8"/>
    <w:pPr>
      <w:spacing w:after="0" w:line="240" w:lineRule="exact"/>
      <w:jc w:val="both"/>
      <w:outlineLvl w:val="1"/>
    </w:pPr>
    <w:rPr>
      <w:rFonts w:ascii="Times" w:eastAsia="Times New Roman" w:hAnsi="Times" w:cs="Times New Roman"/>
      <w:smallCaps/>
      <w:noProof/>
      <w:sz w:val="18"/>
      <w:szCs w:val="20"/>
      <w:lang w:eastAsia="it-IT"/>
    </w:rPr>
  </w:style>
  <w:style w:type="paragraph" w:styleId="Titolo3">
    <w:name w:val="heading 3"/>
    <w:basedOn w:val="Normale"/>
    <w:next w:val="Normale"/>
    <w:link w:val="Titolo3Carattere"/>
    <w:uiPriority w:val="9"/>
    <w:semiHidden/>
    <w:unhideWhenUsed/>
    <w:qFormat/>
    <w:rsid w:val="00B21AE8"/>
    <w:pPr>
      <w:keepNext/>
      <w:keepLines/>
      <w:spacing w:before="40"/>
      <w:outlineLvl w:val="2"/>
    </w:pPr>
    <w:rPr>
      <w:rFonts w:asciiTheme="majorHAnsi" w:eastAsiaTheme="majorEastAsia" w:hAnsiTheme="majorHAnsi" w:cstheme="majorBidi"/>
      <w:color w:val="1F3763" w:themeColor="accent1" w:themeShade="7F"/>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B21AE8"/>
    <w:rPr>
      <w:rFonts w:ascii="Times" w:eastAsia="Times New Roman" w:hAnsi="Times" w:cs="Times New Roman"/>
      <w:b/>
      <w:noProof/>
      <w:sz w:val="20"/>
      <w:szCs w:val="20"/>
      <w:lang w:eastAsia="it-IT"/>
    </w:rPr>
  </w:style>
  <w:style w:type="character" w:customStyle="1" w:styleId="Titolo2Carattere">
    <w:name w:val="Titolo 2 Carattere"/>
    <w:basedOn w:val="Carpredefinitoparagrafo"/>
    <w:link w:val="Titolo2"/>
    <w:rsid w:val="00B21AE8"/>
    <w:rPr>
      <w:rFonts w:ascii="Times" w:eastAsia="Times New Roman" w:hAnsi="Times" w:cs="Times New Roman"/>
      <w:smallCaps/>
      <w:noProof/>
      <w:sz w:val="18"/>
      <w:szCs w:val="20"/>
      <w:lang w:eastAsia="it-IT"/>
    </w:rPr>
  </w:style>
  <w:style w:type="paragraph" w:customStyle="1" w:styleId="Testo1">
    <w:name w:val="Testo 1"/>
    <w:qFormat/>
    <w:rsid w:val="00B21AE8"/>
    <w:pPr>
      <w:spacing w:before="120" w:after="0" w:line="220" w:lineRule="exact"/>
      <w:ind w:left="284" w:hanging="284"/>
      <w:jc w:val="both"/>
    </w:pPr>
    <w:rPr>
      <w:rFonts w:ascii="Times" w:eastAsia="Times New Roman" w:hAnsi="Times" w:cs="Times New Roman"/>
      <w:noProof/>
      <w:sz w:val="18"/>
      <w:szCs w:val="20"/>
      <w:lang w:eastAsia="it-IT"/>
    </w:rPr>
  </w:style>
  <w:style w:type="paragraph" w:customStyle="1" w:styleId="Testo2">
    <w:name w:val="Testo 2"/>
    <w:qFormat/>
    <w:rsid w:val="00B21AE8"/>
    <w:pPr>
      <w:tabs>
        <w:tab w:val="left" w:pos="284"/>
      </w:tabs>
      <w:spacing w:after="0" w:line="220" w:lineRule="exact"/>
      <w:ind w:firstLine="284"/>
      <w:jc w:val="both"/>
    </w:pPr>
    <w:rPr>
      <w:rFonts w:ascii="Times" w:eastAsia="Times New Roman" w:hAnsi="Times" w:cs="Times New Roman"/>
      <w:noProof/>
      <w:sz w:val="18"/>
      <w:szCs w:val="20"/>
      <w:lang w:eastAsia="it-IT"/>
    </w:rPr>
  </w:style>
  <w:style w:type="paragraph" w:styleId="Paragrafoelenco">
    <w:name w:val="List Paragraph"/>
    <w:basedOn w:val="Normale"/>
    <w:uiPriority w:val="34"/>
    <w:qFormat/>
    <w:rsid w:val="00B21AE8"/>
    <w:pPr>
      <w:spacing w:line="240" w:lineRule="exact"/>
      <w:ind w:left="720"/>
      <w:contextualSpacing/>
    </w:pPr>
  </w:style>
  <w:style w:type="character" w:customStyle="1" w:styleId="y2iqfc">
    <w:name w:val="y2iqfc"/>
    <w:basedOn w:val="Carpredefinitoparagrafo"/>
    <w:qFormat/>
    <w:rsid w:val="00B21AE8"/>
  </w:style>
  <w:style w:type="paragraph" w:styleId="NormaleWeb">
    <w:name w:val="Normal (Web)"/>
    <w:basedOn w:val="Normale"/>
    <w:uiPriority w:val="99"/>
    <w:semiHidden/>
    <w:unhideWhenUsed/>
    <w:rsid w:val="00B21AE8"/>
    <w:pPr>
      <w:tabs>
        <w:tab w:val="clear" w:pos="284"/>
      </w:tabs>
      <w:spacing w:line="240" w:lineRule="auto"/>
      <w:jc w:val="left"/>
    </w:pPr>
    <w:rPr>
      <w:rFonts w:ascii="Calibri" w:eastAsiaTheme="minorHAnsi" w:hAnsi="Calibri" w:cs="Calibri"/>
      <w:sz w:val="22"/>
      <w:szCs w:val="22"/>
    </w:rPr>
  </w:style>
  <w:style w:type="character" w:customStyle="1" w:styleId="Titolo3Carattere">
    <w:name w:val="Titolo 3 Carattere"/>
    <w:basedOn w:val="Carpredefinitoparagrafo"/>
    <w:link w:val="Titolo3"/>
    <w:uiPriority w:val="9"/>
    <w:semiHidden/>
    <w:rsid w:val="00B21AE8"/>
    <w:rPr>
      <w:rFonts w:asciiTheme="majorHAnsi" w:eastAsiaTheme="majorEastAsia" w:hAnsiTheme="majorHAnsi" w:cstheme="majorBidi"/>
      <w:color w:val="1F3763" w:themeColor="accent1" w:themeShade="7F"/>
      <w:sz w:val="24"/>
      <w:szCs w:val="24"/>
      <w:lang w:eastAsia="it-IT"/>
    </w:rPr>
  </w:style>
  <w:style w:type="character" w:customStyle="1" w:styleId="CollegamentoInternet">
    <w:name w:val="Collegamento Internet"/>
    <w:basedOn w:val="Carpredefinitoparagrafo"/>
    <w:unhideWhenUsed/>
    <w:rsid w:val="0069198D"/>
    <w:rPr>
      <w:color w:val="0563C1" w:themeColor="hyperlink"/>
      <w:u w:val="single"/>
    </w:rPr>
  </w:style>
  <w:style w:type="character" w:styleId="Collegamentoipertestuale">
    <w:name w:val="Hyperlink"/>
    <w:basedOn w:val="Carpredefinitoparagrafo"/>
    <w:uiPriority w:val="99"/>
    <w:unhideWhenUsed/>
    <w:rsid w:val="0027022F"/>
    <w:rPr>
      <w:color w:val="0563C1" w:themeColor="hyperlink"/>
      <w:u w:val="single"/>
    </w:rPr>
  </w:style>
  <w:style w:type="character" w:styleId="Menzionenonrisolta">
    <w:name w:val="Unresolved Mention"/>
    <w:basedOn w:val="Carpredefinitoparagrafo"/>
    <w:uiPriority w:val="99"/>
    <w:semiHidden/>
    <w:unhideWhenUsed/>
    <w:rsid w:val="0027022F"/>
    <w:rPr>
      <w:color w:val="605E5C"/>
      <w:shd w:val="clear" w:color="auto" w:fill="E1DFDD"/>
    </w:rPr>
  </w:style>
  <w:style w:type="paragraph" w:styleId="Testonotaapidipagina">
    <w:name w:val="footnote text"/>
    <w:basedOn w:val="Normale"/>
    <w:link w:val="TestonotaapidipaginaCarattere"/>
    <w:uiPriority w:val="99"/>
    <w:semiHidden/>
    <w:unhideWhenUsed/>
    <w:rsid w:val="00296FA7"/>
    <w:pPr>
      <w:spacing w:line="240" w:lineRule="auto"/>
    </w:pPr>
    <w:rPr>
      <w:szCs w:val="20"/>
    </w:rPr>
  </w:style>
  <w:style w:type="character" w:customStyle="1" w:styleId="TestonotaapidipaginaCarattere">
    <w:name w:val="Testo nota a piè di pagina Carattere"/>
    <w:basedOn w:val="Carpredefinitoparagrafo"/>
    <w:link w:val="Testonotaapidipagina"/>
    <w:uiPriority w:val="99"/>
    <w:semiHidden/>
    <w:rsid w:val="00296FA7"/>
    <w:rPr>
      <w:rFonts w:ascii="Times New Roman" w:eastAsia="Times New Roman" w:hAnsi="Times New Roman" w:cs="Times New Roman"/>
      <w:sz w:val="20"/>
      <w:szCs w:val="20"/>
      <w:lang w:eastAsia="it-IT"/>
    </w:rPr>
  </w:style>
  <w:style w:type="character" w:styleId="Rimandonotaapidipagina">
    <w:name w:val="footnote reference"/>
    <w:basedOn w:val="Carpredefinitoparagrafo"/>
    <w:uiPriority w:val="99"/>
    <w:semiHidden/>
    <w:unhideWhenUsed/>
    <w:rsid w:val="00296FA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elearning.teorema.cineca.i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librerie.unicatt.it/scheda-libro/grazia-caterina-messineo-salvatore-flavio-vassallo-augusto-ballerio/note-di-matematica-argomenti-di-base-9791221116083-3945831.html" TargetMode="External"/><Relationship Id="rId5" Type="http://schemas.openxmlformats.org/officeDocument/2006/relationships/styles" Target="styles.xml"/><Relationship Id="rId10" Type="http://schemas.openxmlformats.org/officeDocument/2006/relationships/hyperlink" Target="https://librerie.unicatt.it/scheda-libro/francesco-brega-grazia-caterina-messineo/note-di-matematica-esercizi-9791221104301-725903.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37D83A5A93575D408E1BD5C38CB801C7" ma:contentTypeVersion="10" ma:contentTypeDescription="Creare un nuovo documento." ma:contentTypeScope="" ma:versionID="8982f0db9fe325d9e3f75aced194740e">
  <xsd:schema xmlns:xsd="http://www.w3.org/2001/XMLSchema" xmlns:xs="http://www.w3.org/2001/XMLSchema" xmlns:p="http://schemas.microsoft.com/office/2006/metadata/properties" xmlns:ns3="f095c217-c45c-4bba-893a-3d480d4c6e9c" targetNamespace="http://schemas.microsoft.com/office/2006/metadata/properties" ma:root="true" ma:fieldsID="ee33a042a384c9f38889ce1f68639574" ns3:_="">
    <xsd:import namespace="f095c217-c45c-4bba-893a-3d480d4c6e9c"/>
    <xsd:element name="properties">
      <xsd:complexType>
        <xsd:sequence>
          <xsd:element name="documentManagement">
            <xsd:complexType>
              <xsd:all>
                <xsd:element ref="ns3:_activity"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System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95c217-c45c-4bba-893a-3d480d4c6e9c"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f095c217-c45c-4bba-893a-3d480d4c6e9c" xsi:nil="true"/>
  </documentManagement>
</p:properties>
</file>

<file path=customXml/itemProps1.xml><?xml version="1.0" encoding="utf-8"?>
<ds:datastoreItem xmlns:ds="http://schemas.openxmlformats.org/officeDocument/2006/customXml" ds:itemID="{16674FBA-0CB3-4923-A3A2-FF18BA8A26C4}">
  <ds:schemaRefs>
    <ds:schemaRef ds:uri="http://schemas.microsoft.com/sharepoint/v3/contenttype/forms"/>
  </ds:schemaRefs>
</ds:datastoreItem>
</file>

<file path=customXml/itemProps2.xml><?xml version="1.0" encoding="utf-8"?>
<ds:datastoreItem xmlns:ds="http://schemas.openxmlformats.org/officeDocument/2006/customXml" ds:itemID="{7B58EACE-E02B-4C32-9F74-E38D26D57E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95c217-c45c-4bba-893a-3d480d4c6e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65EFA1-49C3-4823-BC14-5B9F8D4FE10C}">
  <ds:schemaRefs>
    <ds:schemaRef ds:uri="http://schemas.microsoft.com/office/2006/metadata/properties"/>
    <ds:schemaRef ds:uri="http://schemas.microsoft.com/office/infopath/2007/PartnerControls"/>
    <ds:schemaRef ds:uri="f095c217-c45c-4bba-893a-3d480d4c6e9c"/>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Normal.dotm</Template>
  <TotalTime>8</TotalTime>
  <Pages>5</Pages>
  <Words>1657</Words>
  <Characters>9450</Characters>
  <Application>Microsoft Office Word</Application>
  <DocSecurity>0</DocSecurity>
  <Lines>78</Lines>
  <Paragraphs>22</Paragraphs>
  <ScaleCrop>false</ScaleCrop>
  <Company/>
  <LinksUpToDate>false</LinksUpToDate>
  <CharactersWithSpaces>11085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Battistoni Francesco (francesco.battistoni)</dc:creator>
  <cp:keywords/>
  <dc:description/>
  <cp:lastModifiedBy>Rolli Andrea</cp:lastModifiedBy>
  <cp:revision>5</cp:revision>
  <dcterms:created xsi:type="dcterms:W3CDTF">2026-06-16T08:40:00Z</dcterms:created>
  <dcterms:modified xsi:type="dcterms:W3CDTF">2026-07-15T07:29:00Z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0x01010037D83A5A93575D408E1BD5C38CB801C7</vt:lpwstr>
  </property>
</Properties>
</file>