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E8D50" w14:textId="77777777" w:rsidR="00147ABF" w:rsidRPr="00835CBE" w:rsidRDefault="00147ABF" w:rsidP="00147ABF">
      <w:pPr>
        <w:pStyle w:val="Titolo1"/>
        <w:rPr>
          <w:rFonts w:ascii="Times New Roman" w:hAnsi="Times New Roman"/>
        </w:rPr>
      </w:pPr>
      <w:r w:rsidRPr="00835CBE">
        <w:rPr>
          <w:rFonts w:ascii="Times New Roman" w:hAnsi="Times New Roman"/>
        </w:rPr>
        <w:t>Economia monetaria (moneta e finanza)</w:t>
      </w:r>
    </w:p>
    <w:p w14:paraId="6E103690" w14:textId="77777777" w:rsidR="00147ABF" w:rsidRPr="00CD79DF" w:rsidRDefault="00147ABF" w:rsidP="00147ABF">
      <w:pPr>
        <w:pStyle w:val="Titolo2"/>
        <w:rPr>
          <w:rFonts w:ascii="Times New Roman" w:hAnsi="Times New Roman"/>
        </w:rPr>
      </w:pPr>
      <w:r w:rsidRPr="00CD79DF">
        <w:rPr>
          <w:rFonts w:ascii="Times New Roman" w:hAnsi="Times New Roman"/>
        </w:rPr>
        <w:t>Prof. Davide Arnaudo; Prof. Lorenzo Esposito</w:t>
      </w:r>
    </w:p>
    <w:p w14:paraId="7F0A1FEE" w14:textId="77777777" w:rsidR="002D5E17" w:rsidRPr="00102BD0" w:rsidRDefault="00147ABF" w:rsidP="00147ABF">
      <w:pPr>
        <w:spacing w:before="240" w:after="120" w:line="240" w:lineRule="exact"/>
        <w:rPr>
          <w:b/>
          <w:sz w:val="18"/>
          <w:szCs w:val="20"/>
        </w:rPr>
      </w:pPr>
      <w:r w:rsidRPr="00102BD0">
        <w:rPr>
          <w:b/>
          <w:i/>
          <w:sz w:val="18"/>
          <w:szCs w:val="20"/>
        </w:rPr>
        <w:t>OBIETTIVO DEL CORSO E RISULTATI DI APPRENDIMENTO ATTESI</w:t>
      </w:r>
    </w:p>
    <w:p w14:paraId="4277E3C6" w14:textId="7B47CE5B" w:rsidR="00147ABF" w:rsidRPr="00212528" w:rsidRDefault="00147ABF" w:rsidP="00CD79DF">
      <w:pPr>
        <w:spacing w:line="240" w:lineRule="exact"/>
      </w:pPr>
      <w:r w:rsidRPr="00212528">
        <w:t xml:space="preserve">Il corso si pone l’obiettivo di fornire </w:t>
      </w:r>
      <w:r w:rsidR="00225CDF">
        <w:t xml:space="preserve">agli studenti </w:t>
      </w:r>
      <w:r w:rsidRPr="00212528">
        <w:t xml:space="preserve">gli strumenti analitici utili all’approfondimento della conduzione della politica monetaria e dell’attività di supervisione sul sistema finanziario. </w:t>
      </w:r>
      <w:r w:rsidR="00F65571" w:rsidRPr="00212528">
        <w:t xml:space="preserve">L’insegnamento si compone di due moduli. </w:t>
      </w:r>
      <w:r w:rsidRPr="00212528">
        <w:t xml:space="preserve">Nel primo saranno illustrati alcuni modelli teorici utili all’analisi delle scelte ottimali di politica monetaria e del meccanismo di trasmissione dell’azione delle banche centrali. Inoltre, alla luce degli aspetti teorici affrontati, si analizzerà l’implementazione della politica monetaria da parte delle Banche centrali, focalizzando l’attenzione sull’azione della Banca Centrale Europea. </w:t>
      </w:r>
      <w:r w:rsidR="00835CBE" w:rsidRPr="00212528">
        <w:t xml:space="preserve">Il secondo modulo si focalizzerà sulle motivazioni a fondamento dell’azione di supervisione del sistema bancario e illustrerà obiettivi, strumenti e assetto istituzionale dell’azione di vigilanza, di tipo sia micro sia macro-prudenziale; </w:t>
      </w:r>
      <w:r w:rsidR="001D60DC">
        <w:t>in questo contesto, si affronteranno i tre “mondi” della vigilanza (strutturale, prudenziale e di tutela). S</w:t>
      </w:r>
      <w:r w:rsidR="00835CBE" w:rsidRPr="00212528">
        <w:t xml:space="preserve">i analizzeranno le principali novità del panorama finanziario internazionale a partire dalla crisi del 2008 e si </w:t>
      </w:r>
      <w:r w:rsidR="001D60DC">
        <w:t>approfondiranno</w:t>
      </w:r>
      <w:r w:rsidR="00835CBE" w:rsidRPr="00212528">
        <w:t xml:space="preserve"> le principali novità del panorama finanziario di oggi (in particolare: </w:t>
      </w:r>
      <w:r w:rsidR="001D60DC">
        <w:t xml:space="preserve">la </w:t>
      </w:r>
      <w:r w:rsidR="00835CBE" w:rsidRPr="00212528">
        <w:t xml:space="preserve">finanza sostenibile e </w:t>
      </w:r>
      <w:r w:rsidR="001D60DC">
        <w:t xml:space="preserve">il </w:t>
      </w:r>
      <w:r w:rsidR="00835CBE" w:rsidRPr="00212528">
        <w:t>fintech).</w:t>
      </w:r>
    </w:p>
    <w:p w14:paraId="0C69F594" w14:textId="77777777" w:rsidR="00147ABF" w:rsidRPr="00212528" w:rsidRDefault="00147ABF" w:rsidP="00CD79DF">
      <w:pPr>
        <w:spacing w:line="240" w:lineRule="exact"/>
      </w:pPr>
      <w:r w:rsidRPr="00212528">
        <w:t>Al termine dell’insegnamento, lo studente conoscerà i principi fondanti dell’assetto istituzionale delle primarie Banche centrali e saprà comprendere sia le motivazioni sottostanti le azioni di policy sia gli obiettivi perseguiti, sviluppando una propria autonomia di giudizio sulla conduzione della politica monetaria. Inoltre, i modelli illustrati nel corso consentiranno allo studente di accrescere le proprie capacità di apprendimento e di affrontare in modo autonomo anche gli sviluppi teorici più recenti nel campo dell’economia monetaria. Infine, lo studente avrà appreso un linguaggio tecnico che gli consentirà di comunicare con chiarezza ed efficacia le conoscenze acquisite.</w:t>
      </w:r>
    </w:p>
    <w:p w14:paraId="57FEEFA7" w14:textId="0DEE8B56" w:rsidR="00147ABF" w:rsidRDefault="00147ABF" w:rsidP="00147ABF">
      <w:pPr>
        <w:spacing w:before="240" w:after="120" w:line="240" w:lineRule="exact"/>
        <w:rPr>
          <w:b/>
          <w:i/>
          <w:sz w:val="18"/>
          <w:szCs w:val="20"/>
        </w:rPr>
      </w:pPr>
      <w:r w:rsidRPr="00102BD0">
        <w:rPr>
          <w:b/>
          <w:i/>
          <w:sz w:val="18"/>
          <w:szCs w:val="20"/>
        </w:rPr>
        <w:t>PROGRAMMA DEL CORSO</w:t>
      </w:r>
    </w:p>
    <w:p w14:paraId="04316809" w14:textId="77777777" w:rsidR="00112D1F" w:rsidRPr="00CD79DF" w:rsidRDefault="00112D1F" w:rsidP="00112D1F">
      <w:pPr>
        <w:spacing w:line="240" w:lineRule="exact"/>
        <w:rPr>
          <w:rFonts w:eastAsiaTheme="minorHAnsi"/>
          <w:i/>
          <w:szCs w:val="18"/>
        </w:rPr>
      </w:pPr>
      <w:r w:rsidRPr="00CD79DF">
        <w:rPr>
          <w:rStyle w:val="Titolo2Carattere"/>
          <w:rFonts w:ascii="Times New Roman" w:eastAsiaTheme="minorHAnsi" w:hAnsi="Times New Roman"/>
          <w:sz w:val="20"/>
          <w:szCs w:val="18"/>
        </w:rPr>
        <w:t>Modulo I</w:t>
      </w:r>
      <w:r w:rsidRPr="00CD79DF">
        <w:rPr>
          <w:rFonts w:eastAsiaTheme="minorHAnsi"/>
          <w:szCs w:val="18"/>
        </w:rPr>
        <w:t xml:space="preserve">: </w:t>
      </w:r>
      <w:r w:rsidRPr="00CD79DF">
        <w:rPr>
          <w:rFonts w:eastAsiaTheme="minorHAnsi"/>
          <w:i/>
          <w:szCs w:val="18"/>
          <w:lang w:eastAsia="en-US"/>
        </w:rPr>
        <w:t>Prof. Davide Arnaudo</w:t>
      </w:r>
    </w:p>
    <w:p w14:paraId="7670C169" w14:textId="77777777" w:rsidR="00112D1F" w:rsidRPr="00CD79DF" w:rsidRDefault="00112D1F" w:rsidP="00112D1F">
      <w:pPr>
        <w:pStyle w:val="Paragrafoelenco"/>
        <w:numPr>
          <w:ilvl w:val="0"/>
          <w:numId w:val="2"/>
        </w:numPr>
        <w:ind w:left="284" w:hanging="284"/>
        <w:rPr>
          <w:rFonts w:eastAsiaTheme="minorHAnsi"/>
          <w:szCs w:val="18"/>
          <w:lang w:eastAsia="en-US"/>
        </w:rPr>
      </w:pPr>
      <w:r w:rsidRPr="00CD79DF">
        <w:rPr>
          <w:rFonts w:eastAsiaTheme="minorHAnsi"/>
          <w:szCs w:val="18"/>
          <w:lang w:eastAsia="en-US"/>
        </w:rPr>
        <w:t>Evidenza empirica sulle relazioni tra moneta, inflazione e prodotto.</w:t>
      </w:r>
    </w:p>
    <w:p w14:paraId="5EB8D66C" w14:textId="77777777" w:rsidR="00112D1F" w:rsidRPr="00CD79DF" w:rsidRDefault="00112D1F" w:rsidP="00112D1F">
      <w:pPr>
        <w:pStyle w:val="Paragrafoelenco"/>
        <w:numPr>
          <w:ilvl w:val="0"/>
          <w:numId w:val="2"/>
        </w:numPr>
        <w:ind w:left="284" w:hanging="284"/>
        <w:rPr>
          <w:rFonts w:eastAsiaTheme="minorHAnsi"/>
          <w:szCs w:val="18"/>
          <w:lang w:eastAsia="en-US"/>
        </w:rPr>
      </w:pPr>
      <w:r w:rsidRPr="00CD79DF">
        <w:rPr>
          <w:rFonts w:eastAsiaTheme="minorHAnsi"/>
          <w:szCs w:val="18"/>
          <w:lang w:eastAsia="en-US"/>
        </w:rPr>
        <w:t>La conduzione della politica monetaria, il dibattito regole verso discrezionalità e l’indipendenza della banca centrale.</w:t>
      </w:r>
    </w:p>
    <w:p w14:paraId="7406E20B" w14:textId="77777777" w:rsidR="00112D1F" w:rsidRPr="00CD79DF" w:rsidRDefault="00112D1F" w:rsidP="00112D1F">
      <w:pPr>
        <w:pStyle w:val="Paragrafoelenco"/>
        <w:numPr>
          <w:ilvl w:val="0"/>
          <w:numId w:val="2"/>
        </w:numPr>
        <w:ind w:left="284" w:hanging="284"/>
        <w:rPr>
          <w:rFonts w:eastAsiaTheme="minorHAnsi"/>
          <w:szCs w:val="18"/>
          <w:lang w:eastAsia="en-US"/>
        </w:rPr>
      </w:pPr>
      <w:r w:rsidRPr="00CD79DF">
        <w:rPr>
          <w:rFonts w:eastAsiaTheme="minorHAnsi"/>
          <w:szCs w:val="18"/>
          <w:lang w:eastAsia="en-US"/>
        </w:rPr>
        <w:t>Il modello neo-keynesiano dinamico e l’azione di politica monetaria.</w:t>
      </w:r>
    </w:p>
    <w:p w14:paraId="471AC704" w14:textId="77777777" w:rsidR="00112D1F" w:rsidRPr="00CD79DF" w:rsidRDefault="00112D1F" w:rsidP="00112D1F">
      <w:pPr>
        <w:pStyle w:val="Paragrafoelenco"/>
        <w:numPr>
          <w:ilvl w:val="0"/>
          <w:numId w:val="2"/>
        </w:numPr>
        <w:ind w:left="284" w:hanging="284"/>
        <w:rPr>
          <w:rFonts w:eastAsiaTheme="minorHAnsi"/>
          <w:szCs w:val="18"/>
          <w:lang w:eastAsia="en-US"/>
        </w:rPr>
      </w:pPr>
      <w:r w:rsidRPr="00CD79DF">
        <w:rPr>
          <w:rFonts w:eastAsiaTheme="minorHAnsi"/>
          <w:szCs w:val="18"/>
          <w:lang w:eastAsia="en-US"/>
        </w:rPr>
        <w:t>Struttura per scadenze dei tassi di interesse e meccanismo di trasmissione della politica monetaria.</w:t>
      </w:r>
    </w:p>
    <w:p w14:paraId="01D57FB6" w14:textId="2CBA6943" w:rsidR="00112D1F" w:rsidRPr="00CD79DF" w:rsidRDefault="00112D1F" w:rsidP="00112D1F">
      <w:pPr>
        <w:pStyle w:val="Paragrafoelenco"/>
        <w:numPr>
          <w:ilvl w:val="0"/>
          <w:numId w:val="2"/>
        </w:numPr>
        <w:ind w:left="284" w:hanging="284"/>
        <w:rPr>
          <w:rFonts w:eastAsiaTheme="minorHAnsi"/>
          <w:szCs w:val="18"/>
          <w:lang w:eastAsia="en-US"/>
        </w:rPr>
      </w:pPr>
      <w:r w:rsidRPr="00CD79DF">
        <w:rPr>
          <w:rFonts w:eastAsiaTheme="minorHAnsi"/>
          <w:szCs w:val="18"/>
          <w:lang w:eastAsia="en-US"/>
        </w:rPr>
        <w:lastRenderedPageBreak/>
        <w:t>La politica monetaria della Banca Centrale Europea: le misure convenzionali e non convenzionali adottate dalla crisi finanziaria internazionale a quella pandemica</w:t>
      </w:r>
      <w:r>
        <w:rPr>
          <w:rFonts w:eastAsiaTheme="minorHAnsi"/>
          <w:szCs w:val="18"/>
          <w:lang w:eastAsia="en-US"/>
        </w:rPr>
        <w:t>; l’orientamento di politica monetaria alla luce delle nuove pressioni inflazionistiche</w:t>
      </w:r>
      <w:r w:rsidRPr="00CD79DF">
        <w:rPr>
          <w:rFonts w:eastAsiaTheme="minorHAnsi"/>
          <w:szCs w:val="18"/>
          <w:lang w:eastAsia="en-US"/>
        </w:rPr>
        <w:t>.</w:t>
      </w:r>
    </w:p>
    <w:p w14:paraId="136426CE" w14:textId="3A24EC52" w:rsidR="00112D1F" w:rsidRPr="00D857FF" w:rsidRDefault="00112D1F" w:rsidP="00D857FF">
      <w:pPr>
        <w:spacing w:before="120" w:line="240" w:lineRule="exact"/>
        <w:rPr>
          <w:rFonts w:eastAsiaTheme="minorHAnsi"/>
          <w:i/>
          <w:szCs w:val="18"/>
          <w:lang w:eastAsia="en-US"/>
        </w:rPr>
      </w:pPr>
      <w:r w:rsidRPr="00CD79DF">
        <w:rPr>
          <w:rStyle w:val="Titolo2Carattere"/>
          <w:rFonts w:ascii="Times New Roman" w:eastAsiaTheme="minorHAnsi" w:hAnsi="Times New Roman"/>
          <w:sz w:val="20"/>
          <w:szCs w:val="18"/>
        </w:rPr>
        <w:t>Modulo II</w:t>
      </w:r>
      <w:r w:rsidRPr="00CD79DF">
        <w:rPr>
          <w:rFonts w:eastAsiaTheme="minorHAnsi"/>
          <w:szCs w:val="18"/>
          <w:lang w:eastAsia="en-US"/>
        </w:rPr>
        <w:t xml:space="preserve">: </w:t>
      </w:r>
      <w:r w:rsidRPr="00CD79DF">
        <w:rPr>
          <w:rFonts w:eastAsiaTheme="minorHAnsi"/>
          <w:i/>
          <w:szCs w:val="18"/>
          <w:lang w:eastAsia="en-US"/>
        </w:rPr>
        <w:t>Prof. Lorenzo Esposito</w:t>
      </w:r>
    </w:p>
    <w:p w14:paraId="6C731EF8" w14:textId="77777777" w:rsidR="00817E90" w:rsidRPr="00CD79DF" w:rsidRDefault="00817E90" w:rsidP="00817E90">
      <w:pPr>
        <w:pStyle w:val="Paragrafoelenco"/>
        <w:numPr>
          <w:ilvl w:val="0"/>
          <w:numId w:val="3"/>
        </w:numPr>
        <w:ind w:left="284" w:hanging="284"/>
        <w:rPr>
          <w:rFonts w:eastAsiaTheme="minorHAnsi"/>
          <w:szCs w:val="18"/>
          <w:lang w:eastAsia="en-US"/>
        </w:rPr>
      </w:pPr>
      <w:r w:rsidRPr="00CD79DF">
        <w:rPr>
          <w:rFonts w:eastAsiaTheme="minorHAnsi"/>
          <w:szCs w:val="18"/>
          <w:lang w:eastAsia="en-US"/>
        </w:rPr>
        <w:t>Visioni della finanziarizzazione, della moneta e delle banche.</w:t>
      </w:r>
    </w:p>
    <w:p w14:paraId="6585ACBB" w14:textId="77777777" w:rsidR="00F4330A" w:rsidRDefault="00817E90" w:rsidP="00817E90">
      <w:pPr>
        <w:pStyle w:val="Paragrafoelenco"/>
        <w:numPr>
          <w:ilvl w:val="0"/>
          <w:numId w:val="3"/>
        </w:numPr>
        <w:ind w:left="284" w:hanging="284"/>
        <w:rPr>
          <w:rFonts w:eastAsiaTheme="minorHAnsi"/>
          <w:szCs w:val="18"/>
          <w:lang w:eastAsia="en-US"/>
        </w:rPr>
      </w:pPr>
      <w:r w:rsidRPr="00CD79DF">
        <w:rPr>
          <w:rFonts w:eastAsiaTheme="minorHAnsi"/>
          <w:szCs w:val="18"/>
          <w:lang w:eastAsia="en-US"/>
        </w:rPr>
        <w:t xml:space="preserve">Efficienza e dinamica dei mercati finanziari: aspettative, razionalità e contagio: ragioni e sviluppo delle crisi bancarie e finanziarie. </w:t>
      </w:r>
    </w:p>
    <w:p w14:paraId="1777EF1B" w14:textId="2F1624F2" w:rsidR="00817E90" w:rsidRDefault="00817E90" w:rsidP="00817E90">
      <w:pPr>
        <w:pStyle w:val="Paragrafoelenco"/>
        <w:numPr>
          <w:ilvl w:val="0"/>
          <w:numId w:val="3"/>
        </w:numPr>
        <w:ind w:left="284" w:hanging="284"/>
        <w:rPr>
          <w:rFonts w:eastAsiaTheme="minorHAnsi"/>
          <w:szCs w:val="18"/>
          <w:lang w:eastAsia="en-US"/>
        </w:rPr>
      </w:pPr>
      <w:r w:rsidRPr="00CD79DF">
        <w:rPr>
          <w:rFonts w:eastAsiaTheme="minorHAnsi"/>
          <w:szCs w:val="18"/>
          <w:lang w:eastAsia="en-US"/>
        </w:rPr>
        <w:t>L’apporto della finanza comportamentale alla moderna visione dei mercati.</w:t>
      </w:r>
    </w:p>
    <w:p w14:paraId="7F942FCD" w14:textId="10E77198" w:rsidR="00F4330A" w:rsidRPr="00CD79DF" w:rsidRDefault="00F4330A" w:rsidP="00817E90">
      <w:pPr>
        <w:pStyle w:val="Paragrafoelenco"/>
        <w:numPr>
          <w:ilvl w:val="0"/>
          <w:numId w:val="3"/>
        </w:numPr>
        <w:ind w:left="284" w:hanging="284"/>
        <w:rPr>
          <w:rFonts w:eastAsiaTheme="minorHAnsi"/>
          <w:szCs w:val="18"/>
          <w:lang w:eastAsia="en-US"/>
        </w:rPr>
      </w:pPr>
      <w:r>
        <w:rPr>
          <w:rFonts w:eastAsiaTheme="minorHAnsi"/>
          <w:szCs w:val="18"/>
          <w:lang w:eastAsia="en-US"/>
        </w:rPr>
        <w:t xml:space="preserve">Rischi (micro e macro) inerenti il business </w:t>
      </w:r>
      <w:r w:rsidR="00C5232F">
        <w:rPr>
          <w:rFonts w:eastAsiaTheme="minorHAnsi"/>
          <w:szCs w:val="18"/>
          <w:lang w:eastAsia="en-US"/>
        </w:rPr>
        <w:t>bancario</w:t>
      </w:r>
      <w:r>
        <w:rPr>
          <w:rFonts w:eastAsiaTheme="minorHAnsi"/>
          <w:szCs w:val="18"/>
          <w:lang w:eastAsia="en-US"/>
        </w:rPr>
        <w:t>.</w:t>
      </w:r>
    </w:p>
    <w:p w14:paraId="6F1C9E92" w14:textId="77777777" w:rsidR="00817E90" w:rsidRDefault="00817E90" w:rsidP="00817E90">
      <w:pPr>
        <w:pStyle w:val="Paragrafoelenco"/>
        <w:numPr>
          <w:ilvl w:val="0"/>
          <w:numId w:val="3"/>
        </w:numPr>
        <w:ind w:left="284" w:hanging="284"/>
        <w:rPr>
          <w:rFonts w:eastAsiaTheme="minorHAnsi"/>
          <w:szCs w:val="18"/>
          <w:lang w:eastAsia="en-US"/>
        </w:rPr>
      </w:pPr>
      <w:r w:rsidRPr="00CD79DF">
        <w:rPr>
          <w:rFonts w:eastAsiaTheme="minorHAnsi"/>
          <w:szCs w:val="18"/>
          <w:lang w:eastAsia="en-US"/>
        </w:rPr>
        <w:t>La regolamentazione bancaria e finanziaria: ragioni, obiettivi e strumenti.</w:t>
      </w:r>
    </w:p>
    <w:p w14:paraId="37FC36FC" w14:textId="71F4B6A7" w:rsidR="00817E90" w:rsidRPr="00CD79DF" w:rsidRDefault="00817E90" w:rsidP="00817E90">
      <w:pPr>
        <w:pStyle w:val="Paragrafoelenco"/>
        <w:numPr>
          <w:ilvl w:val="0"/>
          <w:numId w:val="3"/>
        </w:numPr>
        <w:ind w:left="284" w:hanging="284"/>
        <w:rPr>
          <w:rFonts w:eastAsiaTheme="minorHAnsi"/>
          <w:szCs w:val="18"/>
          <w:lang w:eastAsia="en-US"/>
        </w:rPr>
      </w:pPr>
      <w:r>
        <w:rPr>
          <w:rFonts w:eastAsiaTheme="minorHAnsi"/>
          <w:szCs w:val="18"/>
          <w:lang w:eastAsia="en-US"/>
        </w:rPr>
        <w:t>I tre mondi della vigilanza: stru</w:t>
      </w:r>
      <w:r w:rsidR="00F4330A">
        <w:rPr>
          <w:rFonts w:eastAsiaTheme="minorHAnsi"/>
          <w:szCs w:val="18"/>
          <w:lang w:eastAsia="en-US"/>
        </w:rPr>
        <w:t>tturale, prudenziale e di tutela</w:t>
      </w:r>
      <w:r>
        <w:rPr>
          <w:rFonts w:eastAsiaTheme="minorHAnsi"/>
          <w:szCs w:val="18"/>
          <w:lang w:eastAsia="en-US"/>
        </w:rPr>
        <w:t>.</w:t>
      </w:r>
    </w:p>
    <w:p w14:paraId="080B63DF" w14:textId="19FD873F" w:rsidR="00F4330A" w:rsidRDefault="00817E90" w:rsidP="00817E90">
      <w:pPr>
        <w:pStyle w:val="Paragrafoelenco"/>
        <w:numPr>
          <w:ilvl w:val="0"/>
          <w:numId w:val="3"/>
        </w:numPr>
        <w:ind w:left="284" w:hanging="284"/>
        <w:rPr>
          <w:rFonts w:eastAsiaTheme="minorHAnsi"/>
          <w:szCs w:val="18"/>
          <w:lang w:eastAsia="en-US"/>
        </w:rPr>
      </w:pPr>
      <w:r w:rsidRPr="00CD79DF">
        <w:rPr>
          <w:rFonts w:eastAsiaTheme="minorHAnsi"/>
          <w:szCs w:val="18"/>
          <w:lang w:eastAsia="en-US"/>
        </w:rPr>
        <w:t>Sviluppi della vigilanza dopo la crisi (</w:t>
      </w:r>
      <w:r w:rsidR="00F4330A">
        <w:rPr>
          <w:rFonts w:eastAsiaTheme="minorHAnsi"/>
          <w:szCs w:val="18"/>
          <w:lang w:eastAsia="en-US"/>
        </w:rPr>
        <w:t>il ritorno de</w:t>
      </w:r>
      <w:r w:rsidR="00C5232F">
        <w:rPr>
          <w:rFonts w:eastAsiaTheme="minorHAnsi"/>
          <w:szCs w:val="18"/>
          <w:lang w:eastAsia="en-US"/>
        </w:rPr>
        <w:t>l</w:t>
      </w:r>
      <w:r w:rsidR="00F4330A">
        <w:rPr>
          <w:rFonts w:eastAsiaTheme="minorHAnsi"/>
          <w:szCs w:val="18"/>
          <w:lang w:eastAsia="en-US"/>
        </w:rPr>
        <w:t xml:space="preserve"> rischio sistemico; Basilea 3 e oltre,</w:t>
      </w:r>
      <w:r w:rsidRPr="00CD79DF">
        <w:rPr>
          <w:rFonts w:eastAsiaTheme="minorHAnsi"/>
          <w:szCs w:val="18"/>
          <w:lang w:eastAsia="en-US"/>
        </w:rPr>
        <w:t xml:space="preserve"> legami con la politica monetaria</w:t>
      </w:r>
      <w:r w:rsidR="00F4330A">
        <w:rPr>
          <w:rFonts w:eastAsiaTheme="minorHAnsi"/>
          <w:szCs w:val="18"/>
          <w:lang w:eastAsia="en-US"/>
        </w:rPr>
        <w:t>)</w:t>
      </w:r>
      <w:r w:rsidRPr="00CD79DF">
        <w:rPr>
          <w:rFonts w:eastAsiaTheme="minorHAnsi"/>
          <w:szCs w:val="18"/>
          <w:lang w:eastAsia="en-US"/>
        </w:rPr>
        <w:t>.</w:t>
      </w:r>
    </w:p>
    <w:p w14:paraId="61D62368" w14:textId="5E4D8FA0" w:rsidR="00817E90" w:rsidRDefault="00F4330A" w:rsidP="00817E90">
      <w:pPr>
        <w:pStyle w:val="Paragrafoelenco"/>
        <w:numPr>
          <w:ilvl w:val="0"/>
          <w:numId w:val="3"/>
        </w:numPr>
        <w:ind w:left="284" w:hanging="284"/>
        <w:rPr>
          <w:rFonts w:eastAsiaTheme="minorHAnsi"/>
          <w:szCs w:val="18"/>
          <w:lang w:eastAsia="en-US"/>
        </w:rPr>
      </w:pPr>
      <w:r>
        <w:rPr>
          <w:rFonts w:eastAsiaTheme="minorHAnsi"/>
          <w:szCs w:val="18"/>
          <w:lang w:eastAsia="en-US"/>
        </w:rPr>
        <w:t>Gli sviluppi in Europa: Unione Bancaria e SSM</w:t>
      </w:r>
      <w:r w:rsidR="00817E90" w:rsidRPr="00CD79DF">
        <w:rPr>
          <w:rFonts w:eastAsiaTheme="minorHAnsi"/>
          <w:szCs w:val="18"/>
          <w:lang w:eastAsia="en-US"/>
        </w:rPr>
        <w:t xml:space="preserve"> </w:t>
      </w:r>
    </w:p>
    <w:p w14:paraId="6F194005" w14:textId="77777777" w:rsidR="00817E90" w:rsidRDefault="00817E90" w:rsidP="00817E90">
      <w:pPr>
        <w:pStyle w:val="Paragrafoelenco"/>
        <w:numPr>
          <w:ilvl w:val="0"/>
          <w:numId w:val="3"/>
        </w:numPr>
        <w:ind w:left="284" w:hanging="284"/>
        <w:rPr>
          <w:rFonts w:eastAsiaTheme="minorHAnsi"/>
          <w:szCs w:val="18"/>
          <w:lang w:eastAsia="en-US"/>
        </w:rPr>
      </w:pPr>
      <w:r>
        <w:rPr>
          <w:rFonts w:eastAsiaTheme="minorHAnsi"/>
          <w:szCs w:val="18"/>
          <w:lang w:eastAsia="en-US"/>
        </w:rPr>
        <w:t>La finanza del futuro: f</w:t>
      </w:r>
      <w:r w:rsidRPr="00CD79DF">
        <w:rPr>
          <w:rFonts w:eastAsiaTheme="minorHAnsi"/>
          <w:szCs w:val="18"/>
          <w:lang w:eastAsia="en-US"/>
        </w:rPr>
        <w:t>inanza sostenibile</w:t>
      </w:r>
      <w:r>
        <w:rPr>
          <w:rFonts w:eastAsiaTheme="minorHAnsi"/>
          <w:szCs w:val="18"/>
          <w:lang w:eastAsia="en-US"/>
        </w:rPr>
        <w:t xml:space="preserve"> e</w:t>
      </w:r>
      <w:r w:rsidRPr="00CD79DF">
        <w:rPr>
          <w:rFonts w:eastAsiaTheme="minorHAnsi"/>
          <w:szCs w:val="18"/>
          <w:lang w:eastAsia="en-US"/>
        </w:rPr>
        <w:t xml:space="preserve"> fintech.</w:t>
      </w:r>
    </w:p>
    <w:p w14:paraId="429FC7BA" w14:textId="6B21D87E" w:rsidR="00147ABF" w:rsidRDefault="00147ABF" w:rsidP="00E14E41">
      <w:pPr>
        <w:spacing w:before="240" w:after="120"/>
        <w:rPr>
          <w:b/>
          <w:i/>
          <w:sz w:val="18"/>
          <w:szCs w:val="20"/>
        </w:rPr>
      </w:pPr>
      <w:r w:rsidRPr="00102BD0">
        <w:rPr>
          <w:b/>
          <w:i/>
          <w:sz w:val="18"/>
          <w:szCs w:val="20"/>
        </w:rPr>
        <w:t>BIBLIOGRAFIA</w:t>
      </w:r>
      <w:r w:rsidR="003A31DF">
        <w:rPr>
          <w:rStyle w:val="Rimandonotaapidipagina"/>
          <w:b/>
          <w:i/>
          <w:sz w:val="18"/>
          <w:szCs w:val="20"/>
        </w:rPr>
        <w:footnoteReference w:id="1"/>
      </w:r>
    </w:p>
    <w:p w14:paraId="5C2270AA" w14:textId="77777777" w:rsidR="00112D1F" w:rsidRPr="00212528" w:rsidRDefault="00112D1F" w:rsidP="00112D1F">
      <w:pPr>
        <w:spacing w:line="240" w:lineRule="exact"/>
        <w:rPr>
          <w:rFonts w:eastAsia="MS Mincho"/>
          <w:sz w:val="18"/>
          <w:szCs w:val="18"/>
          <w:lang w:eastAsia="en-US"/>
        </w:rPr>
      </w:pPr>
      <w:r w:rsidRPr="00212528">
        <w:rPr>
          <w:rFonts w:eastAsia="MS Mincho"/>
          <w:sz w:val="18"/>
          <w:szCs w:val="18"/>
          <w:lang w:eastAsia="en-US"/>
        </w:rPr>
        <w:t>Per il modulo I</w:t>
      </w:r>
    </w:p>
    <w:p w14:paraId="304910EF" w14:textId="0050BC2A" w:rsidR="00112D1F" w:rsidRPr="00212528" w:rsidRDefault="00112D1F" w:rsidP="00112D1F">
      <w:pPr>
        <w:pStyle w:val="Paragrafoelenco"/>
        <w:numPr>
          <w:ilvl w:val="0"/>
          <w:numId w:val="3"/>
        </w:numPr>
        <w:tabs>
          <w:tab w:val="clear" w:pos="284"/>
          <w:tab w:val="left" w:pos="426"/>
        </w:tabs>
        <w:spacing w:line="240" w:lineRule="atLeast"/>
        <w:ind w:left="284" w:hanging="284"/>
        <w:rPr>
          <w:spacing w:val="-5"/>
          <w:sz w:val="18"/>
          <w:szCs w:val="18"/>
        </w:rPr>
      </w:pPr>
      <w:r w:rsidRPr="00212528">
        <w:rPr>
          <w:rFonts w:eastAsiaTheme="minorHAnsi"/>
          <w:sz w:val="18"/>
          <w:szCs w:val="18"/>
          <w:lang w:eastAsia="en-US"/>
        </w:rPr>
        <w:t xml:space="preserve">F.C. </w:t>
      </w:r>
      <w:proofErr w:type="spellStart"/>
      <w:r w:rsidRPr="00212528">
        <w:rPr>
          <w:rFonts w:eastAsiaTheme="minorHAnsi"/>
          <w:sz w:val="18"/>
          <w:szCs w:val="18"/>
          <w:lang w:eastAsia="en-US"/>
        </w:rPr>
        <w:t>Bagliano</w:t>
      </w:r>
      <w:proofErr w:type="spellEnd"/>
      <w:r w:rsidRPr="00212528">
        <w:rPr>
          <w:rFonts w:eastAsiaTheme="minorHAnsi"/>
          <w:sz w:val="18"/>
          <w:szCs w:val="18"/>
          <w:lang w:eastAsia="en-US"/>
        </w:rPr>
        <w:t xml:space="preserve">-G. Marotta, </w:t>
      </w:r>
      <w:r w:rsidRPr="00212528">
        <w:rPr>
          <w:rFonts w:eastAsiaTheme="minorHAnsi"/>
          <w:i/>
          <w:sz w:val="18"/>
          <w:szCs w:val="18"/>
          <w:lang w:eastAsia="en-US"/>
        </w:rPr>
        <w:t>Economia monetaria</w:t>
      </w:r>
      <w:r w:rsidRPr="00212528">
        <w:rPr>
          <w:rFonts w:eastAsiaTheme="minorHAnsi"/>
          <w:sz w:val="18"/>
          <w:szCs w:val="18"/>
          <w:lang w:eastAsia="en-US"/>
        </w:rPr>
        <w:t>, Il Mulino, 2010.</w:t>
      </w:r>
      <w:r w:rsidR="003A31DF">
        <w:rPr>
          <w:rFonts w:eastAsiaTheme="minorHAnsi"/>
          <w:sz w:val="18"/>
          <w:szCs w:val="18"/>
          <w:lang w:eastAsia="en-US"/>
        </w:rPr>
        <w:t xml:space="preserve"> </w:t>
      </w:r>
      <w:bookmarkStart w:id="0" w:name="_Hlk170391661"/>
      <w:r w:rsidR="003A31DF">
        <w:rPr>
          <w:i/>
          <w:color w:val="0070C0"/>
          <w:sz w:val="18"/>
          <w:szCs w:val="18"/>
        </w:rPr>
        <w:fldChar w:fldCharType="begin"/>
      </w:r>
      <w:r w:rsidR="003A31DF">
        <w:rPr>
          <w:i/>
          <w:color w:val="0070C0"/>
          <w:sz w:val="18"/>
          <w:szCs w:val="18"/>
        </w:rPr>
        <w:instrText>HYPERLINK "https://librerie.unicatt.it/scheda-libro/fabio-c-bagliano-giuseppe-marotta/economia-monetaria-9788815138590-258788.html"</w:instrText>
      </w:r>
      <w:r w:rsidR="003A31DF">
        <w:rPr>
          <w:i/>
          <w:color w:val="0070C0"/>
          <w:sz w:val="18"/>
          <w:szCs w:val="18"/>
        </w:rPr>
      </w:r>
      <w:r w:rsidR="003A31DF">
        <w:rPr>
          <w:i/>
          <w:color w:val="0070C0"/>
          <w:sz w:val="18"/>
          <w:szCs w:val="18"/>
        </w:rPr>
        <w:fldChar w:fldCharType="separate"/>
      </w:r>
      <w:r w:rsidR="003A31DF" w:rsidRPr="003A31DF">
        <w:rPr>
          <w:rStyle w:val="Collegamentoipertestuale"/>
          <w:i/>
          <w:sz w:val="18"/>
          <w:szCs w:val="18"/>
        </w:rPr>
        <w:t>Acquista da VP</w:t>
      </w:r>
      <w:bookmarkEnd w:id="0"/>
      <w:r w:rsidR="003A31DF">
        <w:rPr>
          <w:i/>
          <w:color w:val="0070C0"/>
          <w:sz w:val="18"/>
          <w:szCs w:val="18"/>
        </w:rPr>
        <w:fldChar w:fldCharType="end"/>
      </w:r>
    </w:p>
    <w:p w14:paraId="7E1B7F3B" w14:textId="137B8E00" w:rsidR="00112D1F" w:rsidRPr="00212528" w:rsidRDefault="00112D1F" w:rsidP="00112D1F">
      <w:pPr>
        <w:pStyle w:val="Paragrafoelenco"/>
        <w:numPr>
          <w:ilvl w:val="0"/>
          <w:numId w:val="3"/>
        </w:numPr>
        <w:tabs>
          <w:tab w:val="clear" w:pos="284"/>
          <w:tab w:val="left" w:pos="426"/>
        </w:tabs>
        <w:spacing w:line="240" w:lineRule="atLeast"/>
        <w:ind w:left="284" w:hanging="284"/>
        <w:rPr>
          <w:rFonts w:eastAsiaTheme="minorHAnsi"/>
          <w:sz w:val="18"/>
          <w:szCs w:val="18"/>
          <w:lang w:eastAsia="en-US"/>
        </w:rPr>
      </w:pPr>
      <w:r w:rsidRPr="00212528">
        <w:rPr>
          <w:rFonts w:eastAsiaTheme="minorHAnsi"/>
          <w:sz w:val="18"/>
          <w:szCs w:val="18"/>
          <w:lang w:eastAsia="en-US"/>
        </w:rPr>
        <w:t xml:space="preserve">G. Di Giorgio, </w:t>
      </w:r>
      <w:r w:rsidRPr="00212528">
        <w:rPr>
          <w:rFonts w:eastAsiaTheme="minorHAnsi"/>
          <w:i/>
          <w:sz w:val="18"/>
          <w:szCs w:val="18"/>
          <w:lang w:eastAsia="en-US"/>
        </w:rPr>
        <w:t>Economia e politica monetaria</w:t>
      </w:r>
      <w:r w:rsidRPr="00212528">
        <w:rPr>
          <w:rFonts w:eastAsiaTheme="minorHAnsi"/>
          <w:sz w:val="18"/>
          <w:szCs w:val="18"/>
          <w:lang w:eastAsia="en-US"/>
        </w:rPr>
        <w:t>, Wolters Kluwer, 2016.</w:t>
      </w:r>
      <w:r w:rsidR="003A31DF">
        <w:rPr>
          <w:rFonts w:eastAsiaTheme="minorHAnsi"/>
          <w:sz w:val="18"/>
          <w:szCs w:val="18"/>
          <w:lang w:eastAsia="en-US"/>
        </w:rPr>
        <w:t xml:space="preserve"> </w:t>
      </w:r>
      <w:hyperlink r:id="rId8" w:history="1">
        <w:r w:rsidR="003A31DF" w:rsidRPr="003A31DF">
          <w:rPr>
            <w:rStyle w:val="Collegamentoipertestuale"/>
            <w:i/>
            <w:sz w:val="18"/>
            <w:szCs w:val="18"/>
          </w:rPr>
          <w:t>Acquista da VP</w:t>
        </w:r>
      </w:hyperlink>
    </w:p>
    <w:p w14:paraId="7FECF58A" w14:textId="77777777" w:rsidR="00112D1F" w:rsidRPr="00FA4C9B" w:rsidRDefault="00112D1F" w:rsidP="00112D1F">
      <w:pPr>
        <w:tabs>
          <w:tab w:val="clear" w:pos="284"/>
          <w:tab w:val="left" w:pos="426"/>
        </w:tabs>
        <w:spacing w:line="240" w:lineRule="atLeast"/>
        <w:rPr>
          <w:rFonts w:eastAsiaTheme="minorHAnsi"/>
          <w:sz w:val="18"/>
          <w:szCs w:val="18"/>
          <w:lang w:eastAsia="en-US"/>
        </w:rPr>
      </w:pPr>
      <w:r w:rsidRPr="00FA4C9B">
        <w:rPr>
          <w:rFonts w:eastAsiaTheme="minorHAnsi"/>
          <w:sz w:val="18"/>
          <w:szCs w:val="18"/>
          <w:lang w:eastAsia="en-US"/>
        </w:rPr>
        <w:t xml:space="preserve">Indicazioni precise sulle sezioni di interesse e ulteriori riferimenti bibliografici saranno forniti nel corso delle lezioni. Il materiale didattico integrativo sarà reso disponibile in </w:t>
      </w:r>
      <w:proofErr w:type="spellStart"/>
      <w:r w:rsidRPr="00FA4C9B">
        <w:rPr>
          <w:rFonts w:eastAsiaTheme="minorHAnsi"/>
          <w:sz w:val="18"/>
          <w:szCs w:val="18"/>
          <w:lang w:eastAsia="en-US"/>
        </w:rPr>
        <w:t>Blackboard</w:t>
      </w:r>
      <w:proofErr w:type="spellEnd"/>
      <w:r w:rsidRPr="00FA4C9B">
        <w:rPr>
          <w:rFonts w:eastAsiaTheme="minorHAnsi"/>
          <w:sz w:val="18"/>
          <w:szCs w:val="18"/>
          <w:lang w:eastAsia="en-US"/>
        </w:rPr>
        <w:t>.</w:t>
      </w:r>
    </w:p>
    <w:p w14:paraId="51559ADA" w14:textId="3FFA74C2" w:rsidR="00112D1F" w:rsidRPr="00D857FF" w:rsidRDefault="00112D1F" w:rsidP="00D857FF">
      <w:pPr>
        <w:spacing w:before="120" w:line="240" w:lineRule="exact"/>
        <w:rPr>
          <w:rFonts w:eastAsia="MS Mincho"/>
          <w:sz w:val="18"/>
          <w:szCs w:val="18"/>
          <w:lang w:eastAsia="en-US"/>
        </w:rPr>
      </w:pPr>
      <w:r w:rsidRPr="00212528">
        <w:rPr>
          <w:rFonts w:eastAsia="MS Mincho"/>
          <w:sz w:val="18"/>
          <w:szCs w:val="18"/>
          <w:lang w:eastAsia="en-US"/>
        </w:rPr>
        <w:t>Per il modulo II</w:t>
      </w:r>
    </w:p>
    <w:p w14:paraId="43C1960C" w14:textId="77777777" w:rsidR="001D60DC" w:rsidRPr="001D60DC" w:rsidRDefault="001D60DC" w:rsidP="001D60DC">
      <w:pPr>
        <w:pStyle w:val="Paragrafoelenco"/>
        <w:numPr>
          <w:ilvl w:val="0"/>
          <w:numId w:val="3"/>
        </w:numPr>
        <w:tabs>
          <w:tab w:val="clear" w:pos="284"/>
          <w:tab w:val="left" w:pos="426"/>
        </w:tabs>
        <w:spacing w:line="240" w:lineRule="atLeast"/>
        <w:ind w:left="284" w:hanging="284"/>
        <w:rPr>
          <w:rFonts w:eastAsia="MS Mincho"/>
          <w:sz w:val="18"/>
          <w:szCs w:val="18"/>
          <w:lang w:eastAsia="en-US"/>
        </w:rPr>
      </w:pPr>
      <w:r w:rsidRPr="001D60DC">
        <w:rPr>
          <w:rFonts w:eastAsia="MS Mincho"/>
          <w:sz w:val="18"/>
          <w:szCs w:val="18"/>
          <w:lang w:eastAsia="en-US"/>
        </w:rPr>
        <w:t xml:space="preserve">L. Esposito, G. Mastromatteo, </w:t>
      </w:r>
      <w:r w:rsidRPr="001D60DC">
        <w:rPr>
          <w:rFonts w:eastAsia="MS Mincho"/>
          <w:i/>
          <w:sz w:val="18"/>
          <w:szCs w:val="18"/>
          <w:lang w:eastAsia="en-US"/>
        </w:rPr>
        <w:t>La vigilanza bancaria. Storia, teorie, prospettive</w:t>
      </w:r>
      <w:r w:rsidRPr="001D60DC">
        <w:rPr>
          <w:rFonts w:eastAsia="MS Mincho"/>
          <w:sz w:val="18"/>
          <w:szCs w:val="18"/>
          <w:lang w:eastAsia="en-US"/>
        </w:rPr>
        <w:t>, Carocci Editore, 2021</w:t>
      </w:r>
    </w:p>
    <w:p w14:paraId="74A62C5D" w14:textId="77777777" w:rsidR="00147ABF" w:rsidRPr="00FA4C9B" w:rsidRDefault="00147ABF" w:rsidP="00FA4C9B">
      <w:pPr>
        <w:tabs>
          <w:tab w:val="clear" w:pos="284"/>
          <w:tab w:val="left" w:pos="426"/>
        </w:tabs>
        <w:spacing w:line="240" w:lineRule="atLeast"/>
        <w:rPr>
          <w:rFonts w:eastAsiaTheme="minorHAnsi"/>
          <w:sz w:val="18"/>
          <w:szCs w:val="18"/>
          <w:lang w:eastAsia="en-US"/>
        </w:rPr>
      </w:pPr>
      <w:r w:rsidRPr="00FA4C9B">
        <w:rPr>
          <w:rFonts w:eastAsiaTheme="minorHAnsi"/>
          <w:sz w:val="18"/>
          <w:szCs w:val="18"/>
          <w:lang w:eastAsia="en-US"/>
        </w:rPr>
        <w:t xml:space="preserve">Ulteriori riferimenti bibliografici saranno forniti nel corso delle lezioni. Il materiale didattico integrativo sarà reso disponibile in </w:t>
      </w:r>
      <w:proofErr w:type="spellStart"/>
      <w:r w:rsidRPr="00FA4C9B">
        <w:rPr>
          <w:rFonts w:eastAsiaTheme="minorHAnsi"/>
          <w:sz w:val="18"/>
          <w:szCs w:val="18"/>
          <w:lang w:eastAsia="en-US"/>
        </w:rPr>
        <w:t>Blackboard</w:t>
      </w:r>
      <w:proofErr w:type="spellEnd"/>
      <w:r w:rsidRPr="00FA4C9B">
        <w:rPr>
          <w:rFonts w:eastAsiaTheme="minorHAnsi"/>
          <w:sz w:val="18"/>
          <w:szCs w:val="18"/>
          <w:lang w:eastAsia="en-US"/>
        </w:rPr>
        <w:t>.</w:t>
      </w:r>
    </w:p>
    <w:p w14:paraId="2600DC1B" w14:textId="77777777" w:rsidR="00147ABF" w:rsidRPr="00102BD0" w:rsidRDefault="00147ABF" w:rsidP="00147ABF">
      <w:pPr>
        <w:spacing w:before="240" w:after="120"/>
        <w:rPr>
          <w:b/>
          <w:i/>
          <w:sz w:val="18"/>
          <w:szCs w:val="20"/>
        </w:rPr>
      </w:pPr>
      <w:r w:rsidRPr="00102BD0">
        <w:rPr>
          <w:b/>
          <w:i/>
          <w:sz w:val="18"/>
          <w:szCs w:val="20"/>
        </w:rPr>
        <w:t>DIDATTICA DEL CORSO</w:t>
      </w:r>
    </w:p>
    <w:p w14:paraId="56EE4C48" w14:textId="77777777" w:rsidR="00123939" w:rsidRPr="00123939" w:rsidRDefault="00123939" w:rsidP="00123939">
      <w:pPr>
        <w:pStyle w:val="Testo2"/>
      </w:pPr>
      <w:r w:rsidRPr="00123939">
        <w:t>Lezioni frontali. I due moduli verranno svolti in modo sequenziale e le lezioni verranno tenute in aula dai docenti.</w:t>
      </w:r>
    </w:p>
    <w:p w14:paraId="0B3DCE92" w14:textId="77777777" w:rsidR="00147ABF" w:rsidRPr="00102BD0" w:rsidRDefault="00147ABF" w:rsidP="00147ABF">
      <w:pPr>
        <w:spacing w:before="240" w:after="120"/>
        <w:rPr>
          <w:b/>
          <w:i/>
          <w:sz w:val="18"/>
          <w:szCs w:val="20"/>
        </w:rPr>
      </w:pPr>
      <w:r w:rsidRPr="00102BD0">
        <w:rPr>
          <w:b/>
          <w:i/>
          <w:sz w:val="18"/>
          <w:szCs w:val="20"/>
        </w:rPr>
        <w:t>METODO E CRITERI DI VALUTAZIONE</w:t>
      </w:r>
    </w:p>
    <w:p w14:paraId="7539CB0C" w14:textId="77777777" w:rsidR="00123939" w:rsidRPr="00123939" w:rsidRDefault="00123939" w:rsidP="00123939">
      <w:pPr>
        <w:pStyle w:val="Testo2"/>
      </w:pPr>
      <w:r w:rsidRPr="00123939">
        <w:t xml:space="preserve">L’esame è scritto e non prevede l’orale. La prova scritta consiste di quattro quesiti con risposte aperte, di cui due riferiti al primo modulo e due al secondo (a scelta tra tre quesiti </w:t>
      </w:r>
      <w:r w:rsidRPr="00123939">
        <w:lastRenderedPageBreak/>
        <w:t xml:space="preserve">proposti per ciascun modulo). Non sono previste prove infra annuali / intermedie. La valutazione è globale e riferita a entrambi i moduli di cui si compone l’insegnamento. </w:t>
      </w:r>
    </w:p>
    <w:p w14:paraId="4241B939" w14:textId="77777777" w:rsidR="00147ABF" w:rsidRPr="00102BD0" w:rsidRDefault="00147ABF" w:rsidP="00147ABF">
      <w:pPr>
        <w:spacing w:before="240" w:after="120" w:line="240" w:lineRule="exact"/>
        <w:rPr>
          <w:b/>
          <w:i/>
          <w:sz w:val="18"/>
          <w:szCs w:val="20"/>
        </w:rPr>
      </w:pPr>
      <w:r w:rsidRPr="00102BD0">
        <w:rPr>
          <w:b/>
          <w:i/>
          <w:sz w:val="18"/>
          <w:szCs w:val="20"/>
        </w:rPr>
        <w:t>AVVERTENZE E PREREQUISITI</w:t>
      </w:r>
    </w:p>
    <w:p w14:paraId="6E6BA96E" w14:textId="4DEC31A2" w:rsidR="0087406E" w:rsidRDefault="00123939" w:rsidP="00DA4829">
      <w:pPr>
        <w:pStyle w:val="Testo2"/>
        <w:rPr>
          <w:rFonts w:eastAsia="MS Mincho"/>
          <w:lang w:eastAsia="en-US"/>
        </w:rPr>
      </w:pPr>
      <w:r w:rsidRPr="00212528">
        <w:t xml:space="preserve">È consigliata la frequenza sistematica delle lezioni in quanto il programma d’esame si basa sul contenuto e sugli argomenti svolti in classe con eventuali integrazioni seminariali di esperti invitati. </w:t>
      </w:r>
      <w:r w:rsidRPr="00212528">
        <w:rPr>
          <w:rFonts w:eastAsia="MS Mincho"/>
          <w:lang w:eastAsia="en-US"/>
        </w:rPr>
        <w:t>Per apprezzare appieno i contenuti dell’insegnamento sono necessarie le usuali conoscenze di matematica generale e di macroeconomia</w:t>
      </w:r>
      <w:r w:rsidR="00147ABF" w:rsidRPr="00212528">
        <w:rPr>
          <w:rFonts w:eastAsia="MS Mincho"/>
          <w:lang w:eastAsia="en-US"/>
        </w:rPr>
        <w:t>.</w:t>
      </w:r>
    </w:p>
    <w:p w14:paraId="2B09F302" w14:textId="765B5609" w:rsidR="00225CDF" w:rsidRPr="00DA4829" w:rsidRDefault="00DA4829" w:rsidP="00DA4829">
      <w:pPr>
        <w:pStyle w:val="Testo2"/>
        <w:spacing w:before="120"/>
        <w:rPr>
          <w:bCs/>
          <w:i/>
        </w:rPr>
      </w:pPr>
      <w:r>
        <w:rPr>
          <w:bCs/>
          <w:i/>
        </w:rPr>
        <w:t>O</w:t>
      </w:r>
      <w:r w:rsidRPr="00DA4829">
        <w:rPr>
          <w:bCs/>
          <w:i/>
        </w:rPr>
        <w:t>rario e luogo di ricevimento degli studenti</w:t>
      </w:r>
    </w:p>
    <w:p w14:paraId="0A63A051" w14:textId="30168FFF" w:rsidR="00225CDF" w:rsidRPr="00212528" w:rsidRDefault="00225CDF" w:rsidP="00DA4829">
      <w:pPr>
        <w:pStyle w:val="Testo2"/>
      </w:pPr>
      <w:r>
        <w:t xml:space="preserve">Ricevimento </w:t>
      </w:r>
      <w:r w:rsidR="003D5684">
        <w:t>previa richiesta di</w:t>
      </w:r>
      <w:r>
        <w:t xml:space="preserve"> appuntamento</w:t>
      </w:r>
      <w:r w:rsidR="003D5684">
        <w:t xml:space="preserve"> via e-mail</w:t>
      </w:r>
      <w:r>
        <w:t xml:space="preserve">, possibile anche </w:t>
      </w:r>
      <w:r w:rsidR="000C5385">
        <w:t>da remoto.</w:t>
      </w:r>
      <w:r>
        <w:t>.</w:t>
      </w:r>
    </w:p>
    <w:sectPr w:rsidR="00225CDF" w:rsidRPr="00212528" w:rsidSect="004D1217">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A842C" w14:textId="77777777" w:rsidR="00220745" w:rsidRDefault="00220745" w:rsidP="003A31DF">
      <w:pPr>
        <w:spacing w:line="240" w:lineRule="auto"/>
      </w:pPr>
      <w:r>
        <w:separator/>
      </w:r>
    </w:p>
  </w:endnote>
  <w:endnote w:type="continuationSeparator" w:id="0">
    <w:p w14:paraId="3F2111CE" w14:textId="77777777" w:rsidR="00220745" w:rsidRDefault="00220745" w:rsidP="003A31D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0FF07" w14:textId="77777777" w:rsidR="00220745" w:rsidRDefault="00220745" w:rsidP="003A31DF">
      <w:pPr>
        <w:spacing w:line="240" w:lineRule="auto"/>
      </w:pPr>
      <w:r>
        <w:separator/>
      </w:r>
    </w:p>
  </w:footnote>
  <w:footnote w:type="continuationSeparator" w:id="0">
    <w:p w14:paraId="2D34E8EF" w14:textId="77777777" w:rsidR="00220745" w:rsidRDefault="00220745" w:rsidP="003A31DF">
      <w:pPr>
        <w:spacing w:line="240" w:lineRule="auto"/>
      </w:pPr>
      <w:r>
        <w:continuationSeparator/>
      </w:r>
    </w:p>
  </w:footnote>
  <w:footnote w:id="1">
    <w:p w14:paraId="0C7B552F" w14:textId="79989220" w:rsidR="003A31DF" w:rsidRDefault="003A31DF">
      <w:pPr>
        <w:pStyle w:val="Testonotaapidipagina"/>
      </w:pPr>
      <w:r>
        <w:rPr>
          <w:rStyle w:val="Rimandonotaapidipagina"/>
        </w:rPr>
        <w:footnoteRef/>
      </w:r>
      <w:r>
        <w:t xml:space="preserve"> </w:t>
      </w:r>
      <w:r w:rsidRPr="001D7759">
        <w:rPr>
          <w:sz w:val="16"/>
          <w:szCs w:val="16"/>
        </w:rPr>
        <w:t xml:space="preserve">I testi indicati nella bibliografia sono acquistabili presso le librerie di Ateneo; è possibile acquistarli </w:t>
      </w:r>
      <w:r>
        <w:rPr>
          <w:sz w:val="16"/>
          <w:szCs w:val="16"/>
        </w:rPr>
        <w:t>anche presso altri rivenditori.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5B6B39"/>
    <w:multiLevelType w:val="hybridMultilevel"/>
    <w:tmpl w:val="2632B284"/>
    <w:lvl w:ilvl="0" w:tplc="7848FB1C">
      <w:numFmt w:val="bullet"/>
      <w:lvlText w:val="-"/>
      <w:lvlJc w:val="left"/>
      <w:pPr>
        <w:ind w:left="720" w:hanging="360"/>
      </w:pPr>
      <w:rPr>
        <w:rFonts w:ascii="Times New Roman" w:eastAsia="MS Mincho"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D9E5508"/>
    <w:multiLevelType w:val="hybridMultilevel"/>
    <w:tmpl w:val="BFAA5792"/>
    <w:lvl w:ilvl="0" w:tplc="8DC2B460">
      <w:start w:val="1"/>
      <w:numFmt w:val="bullet"/>
      <w:lvlText w:val=""/>
      <w:lvlJc w:val="left"/>
      <w:pPr>
        <w:ind w:left="644"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218051C"/>
    <w:multiLevelType w:val="hybridMultilevel"/>
    <w:tmpl w:val="819E11A8"/>
    <w:lvl w:ilvl="0" w:tplc="8DC2B460">
      <w:start w:val="1"/>
      <w:numFmt w:val="bullet"/>
      <w:lvlText w:val=""/>
      <w:lvlJc w:val="left"/>
      <w:pPr>
        <w:ind w:left="36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7AA4A4E"/>
    <w:multiLevelType w:val="hybridMultilevel"/>
    <w:tmpl w:val="2F309DDA"/>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7E7052B6"/>
    <w:multiLevelType w:val="hybridMultilevel"/>
    <w:tmpl w:val="71E851B0"/>
    <w:lvl w:ilvl="0" w:tplc="4A668854">
      <w:start w:val="6"/>
      <w:numFmt w:val="bullet"/>
      <w:lvlText w:val="-"/>
      <w:lvlJc w:val="left"/>
      <w:pPr>
        <w:ind w:left="720" w:hanging="360"/>
      </w:pPr>
      <w:rPr>
        <w:rFonts w:ascii="Times New Roman" w:eastAsia="MS Mincho"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194147910">
    <w:abstractNumId w:val="3"/>
  </w:num>
  <w:num w:numId="2" w16cid:durableId="873687235">
    <w:abstractNumId w:val="2"/>
  </w:num>
  <w:num w:numId="3" w16cid:durableId="789009905">
    <w:abstractNumId w:val="1"/>
  </w:num>
  <w:num w:numId="4" w16cid:durableId="1947495162">
    <w:abstractNumId w:val="0"/>
  </w:num>
  <w:num w:numId="5" w16cid:durableId="11194970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777A"/>
    <w:rsid w:val="000360C3"/>
    <w:rsid w:val="000633BA"/>
    <w:rsid w:val="000C5385"/>
    <w:rsid w:val="00102BD0"/>
    <w:rsid w:val="00112D1F"/>
    <w:rsid w:val="00123939"/>
    <w:rsid w:val="0013671B"/>
    <w:rsid w:val="00147ABF"/>
    <w:rsid w:val="00187B99"/>
    <w:rsid w:val="001D60DC"/>
    <w:rsid w:val="002014DD"/>
    <w:rsid w:val="00212528"/>
    <w:rsid w:val="00220745"/>
    <w:rsid w:val="00225CDF"/>
    <w:rsid w:val="00260933"/>
    <w:rsid w:val="00270BDB"/>
    <w:rsid w:val="00271932"/>
    <w:rsid w:val="002D5E17"/>
    <w:rsid w:val="00370E11"/>
    <w:rsid w:val="003A31DF"/>
    <w:rsid w:val="003D5684"/>
    <w:rsid w:val="004500C1"/>
    <w:rsid w:val="004D1217"/>
    <w:rsid w:val="004D6008"/>
    <w:rsid w:val="004F6A57"/>
    <w:rsid w:val="005B5A41"/>
    <w:rsid w:val="00640794"/>
    <w:rsid w:val="006F1772"/>
    <w:rsid w:val="00751455"/>
    <w:rsid w:val="007678F7"/>
    <w:rsid w:val="007A04F5"/>
    <w:rsid w:val="00817E90"/>
    <w:rsid w:val="00835CBE"/>
    <w:rsid w:val="00867FFC"/>
    <w:rsid w:val="0087406E"/>
    <w:rsid w:val="008942E7"/>
    <w:rsid w:val="008A1204"/>
    <w:rsid w:val="00900CCA"/>
    <w:rsid w:val="00924B77"/>
    <w:rsid w:val="00940DA2"/>
    <w:rsid w:val="009E055C"/>
    <w:rsid w:val="009F4050"/>
    <w:rsid w:val="00A160E2"/>
    <w:rsid w:val="00A554E1"/>
    <w:rsid w:val="00A6108F"/>
    <w:rsid w:val="00A74F6F"/>
    <w:rsid w:val="00AD7557"/>
    <w:rsid w:val="00B13167"/>
    <w:rsid w:val="00B27CCB"/>
    <w:rsid w:val="00B50C5D"/>
    <w:rsid w:val="00B51253"/>
    <w:rsid w:val="00B525CC"/>
    <w:rsid w:val="00B5777A"/>
    <w:rsid w:val="00C5232F"/>
    <w:rsid w:val="00CA106C"/>
    <w:rsid w:val="00CD79DF"/>
    <w:rsid w:val="00D362DB"/>
    <w:rsid w:val="00D404F2"/>
    <w:rsid w:val="00D857FF"/>
    <w:rsid w:val="00DA4829"/>
    <w:rsid w:val="00E074B9"/>
    <w:rsid w:val="00E14E41"/>
    <w:rsid w:val="00E607E6"/>
    <w:rsid w:val="00F4330A"/>
    <w:rsid w:val="00F65571"/>
    <w:rsid w:val="00FA4C9B"/>
    <w:rsid w:val="00FC4A20"/>
    <w:rsid w:val="00FE38A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7028C5"/>
  <w15:chartTrackingRefBased/>
  <w15:docId w15:val="{31C44410-A6A0-465B-B779-15761B6DD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1D60DC"/>
    <w:pPr>
      <w:tabs>
        <w:tab w:val="left" w:pos="284"/>
      </w:tabs>
      <w:spacing w:line="22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styleId="Paragrafoelenco">
    <w:name w:val="List Paragraph"/>
    <w:basedOn w:val="Normale"/>
    <w:uiPriority w:val="34"/>
    <w:qFormat/>
    <w:rsid w:val="00147ABF"/>
    <w:pPr>
      <w:spacing w:line="240" w:lineRule="exact"/>
      <w:ind w:left="720"/>
      <w:contextualSpacing/>
    </w:pPr>
  </w:style>
  <w:style w:type="paragraph" w:styleId="Testofumetto">
    <w:name w:val="Balloon Text"/>
    <w:basedOn w:val="Normale"/>
    <w:link w:val="TestofumettoCarattere"/>
    <w:rsid w:val="00CA106C"/>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rsid w:val="00CA106C"/>
    <w:rPr>
      <w:rFonts w:ascii="Segoe UI" w:hAnsi="Segoe UI" w:cs="Segoe UI"/>
      <w:sz w:val="18"/>
      <w:szCs w:val="18"/>
    </w:rPr>
  </w:style>
  <w:style w:type="paragraph" w:styleId="Revisione">
    <w:name w:val="Revision"/>
    <w:hidden/>
    <w:uiPriority w:val="99"/>
    <w:semiHidden/>
    <w:rsid w:val="0013671B"/>
    <w:rPr>
      <w:szCs w:val="24"/>
    </w:rPr>
  </w:style>
  <w:style w:type="paragraph" w:styleId="Testonotaapidipagina">
    <w:name w:val="footnote text"/>
    <w:basedOn w:val="Normale"/>
    <w:link w:val="TestonotaapidipaginaCarattere"/>
    <w:rsid w:val="003A31DF"/>
    <w:pPr>
      <w:spacing w:line="240" w:lineRule="auto"/>
    </w:pPr>
    <w:rPr>
      <w:szCs w:val="20"/>
    </w:rPr>
  </w:style>
  <w:style w:type="character" w:customStyle="1" w:styleId="TestonotaapidipaginaCarattere">
    <w:name w:val="Testo nota a piè di pagina Carattere"/>
    <w:basedOn w:val="Carpredefinitoparagrafo"/>
    <w:link w:val="Testonotaapidipagina"/>
    <w:rsid w:val="003A31DF"/>
  </w:style>
  <w:style w:type="character" w:styleId="Rimandonotaapidipagina">
    <w:name w:val="footnote reference"/>
    <w:basedOn w:val="Carpredefinitoparagrafo"/>
    <w:rsid w:val="003A31DF"/>
    <w:rPr>
      <w:vertAlign w:val="superscript"/>
    </w:rPr>
  </w:style>
  <w:style w:type="character" w:styleId="Collegamentoipertestuale">
    <w:name w:val="Hyperlink"/>
    <w:basedOn w:val="Carpredefinitoparagrafo"/>
    <w:rsid w:val="003A31DF"/>
    <w:rPr>
      <w:color w:val="0563C1" w:themeColor="hyperlink"/>
      <w:u w:val="single"/>
    </w:rPr>
  </w:style>
  <w:style w:type="character" w:styleId="Menzionenonrisolta">
    <w:name w:val="Unresolved Mention"/>
    <w:basedOn w:val="Carpredefinitoparagrafo"/>
    <w:uiPriority w:val="99"/>
    <w:semiHidden/>
    <w:unhideWhenUsed/>
    <w:rsid w:val="003A31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giorgio-di-giorgio/economia-e-politica-monetaria-paradigmi-consolidati-e-nuovi-scenari-9788813386818-3944003.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fgu-01-mi\Desktop\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1EE0EB-7195-4A6D-911A-EBBE0315A954}">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PROG_COR_2019.dotx</Template>
  <TotalTime>3</TotalTime>
  <Pages>3</Pages>
  <Words>809</Words>
  <Characters>4616</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5415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s-ufgu-01-mi</dc:creator>
  <cp:keywords/>
  <cp:lastModifiedBy>Rolli Andrea</cp:lastModifiedBy>
  <cp:revision>4</cp:revision>
  <cp:lastPrinted>2003-03-27T10:42:00Z</cp:lastPrinted>
  <dcterms:created xsi:type="dcterms:W3CDTF">2026-06-18T14:44:00Z</dcterms:created>
  <dcterms:modified xsi:type="dcterms:W3CDTF">2026-07-15T07:04:00Z</dcterms:modified>
</cp:coreProperties>
</file>