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025B" w14:textId="77777777" w:rsidR="00412698" w:rsidRDefault="00412698" w:rsidP="00861027">
      <w:pPr>
        <w:pStyle w:val="Titolo1"/>
      </w:pPr>
      <w:r w:rsidRPr="00077497">
        <w:t>Istituzioni di diritto privato</w:t>
      </w:r>
    </w:p>
    <w:p w14:paraId="379E5D30" w14:textId="5CE2D1A6" w:rsidR="00412698" w:rsidRPr="00E019A4" w:rsidRDefault="00F353BA" w:rsidP="00861027">
      <w:pPr>
        <w:pStyle w:val="Titolo2"/>
        <w:rPr>
          <w:lang w:val="en-US"/>
        </w:rPr>
      </w:pPr>
      <w:r w:rsidRPr="00E019A4">
        <w:rPr>
          <w:lang w:val="en-US"/>
        </w:rPr>
        <w:t xml:space="preserve">Prof. </w:t>
      </w:r>
      <w:r w:rsidR="00F85B68" w:rsidRPr="00E019A4">
        <w:rPr>
          <w:lang w:val="en-US"/>
        </w:rPr>
        <w:t>Alberto Jarach</w:t>
      </w:r>
      <w:r w:rsidR="00E019A4" w:rsidRPr="00E019A4">
        <w:rPr>
          <w:lang w:val="en-US"/>
        </w:rPr>
        <w:t>; Prof. V</w:t>
      </w:r>
      <w:r w:rsidR="00E019A4">
        <w:rPr>
          <w:lang w:val="en-US"/>
        </w:rPr>
        <w:t>ittorio Bachelet</w:t>
      </w:r>
    </w:p>
    <w:p w14:paraId="61BA18B4" w14:textId="77777777" w:rsidR="00F353BA" w:rsidRPr="00F353BA" w:rsidRDefault="00F353BA" w:rsidP="00861027">
      <w:pPr>
        <w:tabs>
          <w:tab w:val="left" w:pos="284"/>
        </w:tabs>
        <w:spacing w:before="240" w:after="120"/>
        <w:rPr>
          <w:rFonts w:eastAsia="Times New Roman"/>
          <w:b/>
          <w:sz w:val="18"/>
          <w:szCs w:val="18"/>
        </w:rPr>
      </w:pPr>
      <w:r w:rsidRPr="00F353BA">
        <w:rPr>
          <w:rFonts w:eastAsia="Times New Roman"/>
          <w:b/>
          <w:i/>
          <w:sz w:val="18"/>
          <w:szCs w:val="18"/>
        </w:rPr>
        <w:t>OBIETTIVO DEL CORSO E RISULTATI DI APPRENDIMENTO ATTESI</w:t>
      </w:r>
    </w:p>
    <w:p w14:paraId="3B529B57" w14:textId="7777777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Il corso mira ad illustrare gli istituti fondamentali del diritto privato, con l’intento di far acquisire agli studenti dimestichezza con le basilari categorie della materia e con i fondamenti della metodologia dell’interpretazione giuridica, nonché la padronanza del linguaggio giuridico e la capacità di comprensione sistematica degli istituti, della logica ad essi sottesa e della valenza sociale e culturale del fenomeno giuridico.</w:t>
      </w:r>
    </w:p>
    <w:p w14:paraId="6B1E2C4C" w14:textId="77777777" w:rsidR="00F353BA" w:rsidRPr="00F353BA" w:rsidRDefault="00F353BA" w:rsidP="00861027">
      <w:pPr>
        <w:tabs>
          <w:tab w:val="left" w:pos="284"/>
        </w:tabs>
        <w:spacing w:before="120"/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L’insegnamento consentirà allo studente di acquisire un’adeguata conoscenza degli istituti che ne sono oggetto e la capacità di ricostruire le finalità perseguite dal legislatore. Inoltre, lo studente sarà in grado di comprendere casi pratici non complessi e formulare ipotesi di soluzione al riguardo.</w:t>
      </w:r>
    </w:p>
    <w:p w14:paraId="7F965BB0" w14:textId="77777777" w:rsidR="00F353BA" w:rsidRPr="00F353BA" w:rsidRDefault="00F353BA" w:rsidP="00861027">
      <w:pPr>
        <w:tabs>
          <w:tab w:val="left" w:pos="284"/>
        </w:tabs>
        <w:spacing w:before="240" w:after="120"/>
        <w:rPr>
          <w:rFonts w:eastAsia="Times New Roman"/>
          <w:b/>
          <w:i/>
          <w:sz w:val="18"/>
          <w:szCs w:val="18"/>
        </w:rPr>
      </w:pPr>
      <w:r w:rsidRPr="00F353BA">
        <w:rPr>
          <w:rFonts w:eastAsia="Times New Roman"/>
          <w:b/>
          <w:i/>
          <w:sz w:val="18"/>
          <w:szCs w:val="18"/>
        </w:rPr>
        <w:t>PROGRAMMA DEL CORSO</w:t>
      </w:r>
    </w:p>
    <w:p w14:paraId="61160B29" w14:textId="0491A8CC" w:rsidR="00F353BA" w:rsidRPr="00F353BA" w:rsidRDefault="00C67B43" w:rsidP="00861027">
      <w:pPr>
        <w:tabs>
          <w:tab w:val="left" w:pos="284"/>
        </w:tabs>
      </w:pPr>
      <w:r w:rsidRPr="00C67B43">
        <w:rPr>
          <w:b/>
          <w:bCs/>
        </w:rPr>
        <w:t>Primo modulo</w:t>
      </w:r>
      <w:r w:rsidR="00F353BA">
        <w:t xml:space="preserve"> </w:t>
      </w:r>
    </w:p>
    <w:p w14:paraId="0C0D073D" w14:textId="77777777" w:rsidR="00C67B43" w:rsidRDefault="00F353BA" w:rsidP="00861027">
      <w:pPr>
        <w:tabs>
          <w:tab w:val="left" w:pos="284"/>
        </w:tabs>
        <w:ind w:left="284" w:hanging="284"/>
        <w:rPr>
          <w:rFonts w:eastAsia="Times New Roman"/>
          <w:szCs w:val="20"/>
        </w:rPr>
      </w:pPr>
      <w:r>
        <w:rPr>
          <w:rFonts w:eastAsia="Times New Roman"/>
          <w:szCs w:val="20"/>
        </w:rPr>
        <w:t>L</w:t>
      </w:r>
      <w:r w:rsidR="00C67B43">
        <w:rPr>
          <w:rFonts w:eastAsia="Times New Roman"/>
          <w:szCs w:val="20"/>
        </w:rPr>
        <w:t xml:space="preserve">’ordinamento giuridico. La norma. Le fonti del diritto. </w:t>
      </w:r>
    </w:p>
    <w:p w14:paraId="46486759" w14:textId="50DB670C" w:rsidR="00F353BA" w:rsidRPr="00F353BA" w:rsidRDefault="00F353BA" w:rsidP="00861027">
      <w:pPr>
        <w:tabs>
          <w:tab w:val="left" w:pos="284"/>
        </w:tabs>
        <w:ind w:left="284" w:hanging="284"/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Il diritto privato: regole</w:t>
      </w:r>
      <w:r w:rsidR="00C67B43">
        <w:rPr>
          <w:rFonts w:eastAsia="Times New Roman"/>
          <w:szCs w:val="20"/>
        </w:rPr>
        <w:t xml:space="preserve"> </w:t>
      </w:r>
      <w:r w:rsidRPr="00F353BA">
        <w:rPr>
          <w:rFonts w:eastAsia="Times New Roman"/>
          <w:szCs w:val="20"/>
        </w:rPr>
        <w:t xml:space="preserve">principi. L’interpretazione e l’applicazione della legge. </w:t>
      </w:r>
    </w:p>
    <w:p w14:paraId="62B19746" w14:textId="305E31D6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La struttura dei diritti soggettivi e la loro attuazione nel processo. La prova dei fatti giuridici. Prescrizione e decadenza.</w:t>
      </w:r>
    </w:p>
    <w:p w14:paraId="52053F61" w14:textId="7777777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Persona e capacità; gli enti senza scopo di lucro.</w:t>
      </w:r>
    </w:p>
    <w:p w14:paraId="2E5D5C1C" w14:textId="45ED0178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 xml:space="preserve">La disciplina generale del contratto. </w:t>
      </w:r>
      <w:r w:rsidR="00C67B43">
        <w:rPr>
          <w:rFonts w:eastAsia="Times New Roman"/>
          <w:szCs w:val="20"/>
        </w:rPr>
        <w:t>I contratti del consumatore. La compravendita.</w:t>
      </w:r>
    </w:p>
    <w:p w14:paraId="086010B8" w14:textId="63054544" w:rsidR="00C67B43" w:rsidRDefault="00C67B43" w:rsidP="00861027">
      <w:pPr>
        <w:tabs>
          <w:tab w:val="left" w:pos="284"/>
        </w:tabs>
        <w:spacing w:before="120"/>
        <w:rPr>
          <w:rFonts w:eastAsia="Times New Roman"/>
          <w:szCs w:val="20"/>
        </w:rPr>
      </w:pPr>
      <w:r w:rsidRPr="00C67B43">
        <w:rPr>
          <w:rFonts w:eastAsia="Times New Roman"/>
          <w:b/>
          <w:bCs/>
          <w:szCs w:val="20"/>
        </w:rPr>
        <w:t>Secondo modulo</w:t>
      </w:r>
      <w:r>
        <w:rPr>
          <w:rFonts w:eastAsia="Times New Roman"/>
          <w:szCs w:val="20"/>
        </w:rPr>
        <w:t xml:space="preserve"> </w:t>
      </w:r>
    </w:p>
    <w:p w14:paraId="4EA358EA" w14:textId="1F151F5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La disciplina generale del rapporto obbligatorio.</w:t>
      </w:r>
    </w:p>
    <w:p w14:paraId="6B96F26E" w14:textId="7777777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Responsabilità contrattuale ed extracontrattuale. Le altre fonti delle obbligazioni.</w:t>
      </w:r>
    </w:p>
    <w:p w14:paraId="18DF559B" w14:textId="7777777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La proprietà, l’usufrutto, la superficie, le servitù prediali. Le situazioni possessorie.</w:t>
      </w:r>
    </w:p>
    <w:p w14:paraId="243B1BC2" w14:textId="77777777" w:rsidR="00F353BA" w:rsidRPr="00F353BA" w:rsidRDefault="00F353BA" w:rsidP="00861027">
      <w:pPr>
        <w:tabs>
          <w:tab w:val="left" w:pos="284"/>
        </w:tabs>
        <w:rPr>
          <w:rFonts w:eastAsia="Times New Roman"/>
          <w:szCs w:val="20"/>
        </w:rPr>
      </w:pPr>
      <w:r w:rsidRPr="00F353BA">
        <w:rPr>
          <w:rFonts w:eastAsia="Times New Roman"/>
          <w:szCs w:val="20"/>
        </w:rPr>
        <w:t>La responsabilità patrimoniale, le garanzie personali e reali. I mezzi di conservazione della garanzia patrimoniale.</w:t>
      </w:r>
    </w:p>
    <w:p w14:paraId="1ABA4E4E" w14:textId="31BD4A6B" w:rsidR="00F353BA" w:rsidRPr="00F353BA" w:rsidRDefault="00F353BA" w:rsidP="00861027">
      <w:pPr>
        <w:tabs>
          <w:tab w:val="left" w:pos="284"/>
        </w:tabs>
        <w:spacing w:before="240" w:after="120"/>
        <w:rPr>
          <w:rFonts w:eastAsia="Times New Roman"/>
          <w:b/>
          <w:i/>
          <w:sz w:val="18"/>
          <w:szCs w:val="18"/>
        </w:rPr>
      </w:pPr>
      <w:r w:rsidRPr="00F353BA">
        <w:rPr>
          <w:rFonts w:eastAsia="Times New Roman"/>
          <w:b/>
          <w:i/>
          <w:sz w:val="18"/>
          <w:szCs w:val="18"/>
        </w:rPr>
        <w:t>BIBLIOGRAFIA</w:t>
      </w:r>
      <w:r w:rsidR="006F0B95">
        <w:rPr>
          <w:rStyle w:val="Rimandonotaapidipagina"/>
          <w:rFonts w:eastAsia="Times New Roman"/>
          <w:b/>
          <w:i/>
          <w:sz w:val="18"/>
          <w:szCs w:val="18"/>
        </w:rPr>
        <w:footnoteReference w:id="1"/>
      </w:r>
    </w:p>
    <w:p w14:paraId="785AC606" w14:textId="52B06360" w:rsidR="00F353BA" w:rsidRPr="00F353BA" w:rsidRDefault="00F353BA" w:rsidP="00861027">
      <w:pPr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F353BA">
        <w:rPr>
          <w:rFonts w:ascii="Times" w:eastAsia="Times New Roman" w:hAnsi="Times"/>
          <w:noProof/>
          <w:sz w:val="18"/>
          <w:szCs w:val="18"/>
        </w:rPr>
        <w:t xml:space="preserve">Il manuale di riferimento è: </w:t>
      </w:r>
      <w:r w:rsidRPr="00F353BA">
        <w:rPr>
          <w:rFonts w:ascii="Times" w:eastAsia="Times New Roman" w:hAnsi="Times"/>
          <w:smallCaps/>
          <w:noProof/>
          <w:spacing w:val="-5"/>
          <w:sz w:val="18"/>
          <w:szCs w:val="18"/>
        </w:rPr>
        <w:t>A. Torrente-P. Schlesinger,</w:t>
      </w:r>
      <w:r w:rsidRPr="00F353BA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Manuale di diritto privato</w:t>
      </w:r>
      <w:r w:rsidRPr="00F353BA">
        <w:rPr>
          <w:rFonts w:ascii="Times" w:eastAsia="Times New Roman" w:hAnsi="Times"/>
          <w:noProof/>
          <w:spacing w:val="-5"/>
          <w:sz w:val="18"/>
          <w:szCs w:val="18"/>
        </w:rPr>
        <w:t>, Milano, 2023, nelle parti che saranno indicate dettagliatamente a lezione e sul sito del corso.</w:t>
      </w:r>
      <w:r w:rsidR="006F0B95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bookmarkStart w:id="0" w:name="_Hlk170391661"/>
      <w:r w:rsidR="006F0B95">
        <w:rPr>
          <w:i/>
          <w:color w:val="0070C0"/>
          <w:sz w:val="18"/>
          <w:szCs w:val="18"/>
        </w:rPr>
        <w:fldChar w:fldCharType="begin"/>
      </w:r>
      <w:r w:rsidR="006F0B95">
        <w:rPr>
          <w:i/>
          <w:color w:val="0070C0"/>
          <w:sz w:val="18"/>
          <w:szCs w:val="18"/>
        </w:rPr>
        <w:instrText>HYPERLINK "https://librerie.unicatt.it/scheda-libro/andrea-torrente-piero-schlesinger/manuale-di-diritto-privato-9788828869269-3945779.html"</w:instrText>
      </w:r>
      <w:r w:rsidR="006F0B95">
        <w:rPr>
          <w:i/>
          <w:color w:val="0070C0"/>
          <w:sz w:val="18"/>
          <w:szCs w:val="18"/>
        </w:rPr>
      </w:r>
      <w:r w:rsidR="006F0B95">
        <w:rPr>
          <w:i/>
          <w:color w:val="0070C0"/>
          <w:sz w:val="18"/>
          <w:szCs w:val="18"/>
        </w:rPr>
        <w:fldChar w:fldCharType="separate"/>
      </w:r>
      <w:r w:rsidR="006F0B95" w:rsidRPr="006F0B95">
        <w:rPr>
          <w:rStyle w:val="Collegamentoipertestuale"/>
          <w:i/>
          <w:sz w:val="18"/>
          <w:szCs w:val="18"/>
        </w:rPr>
        <w:t>Acquista da VP</w:t>
      </w:r>
      <w:bookmarkEnd w:id="0"/>
      <w:r w:rsidR="006F0B95">
        <w:rPr>
          <w:i/>
          <w:color w:val="0070C0"/>
          <w:sz w:val="18"/>
          <w:szCs w:val="18"/>
        </w:rPr>
        <w:fldChar w:fldCharType="end"/>
      </w:r>
    </w:p>
    <w:p w14:paraId="39446D71" w14:textId="77777777" w:rsidR="00F353BA" w:rsidRPr="00F353BA" w:rsidRDefault="00F353BA" w:rsidP="00861027">
      <w:pPr>
        <w:spacing w:before="120"/>
        <w:ind w:left="284"/>
        <w:rPr>
          <w:rFonts w:ascii="Times" w:eastAsia="Times New Roman" w:hAnsi="Times"/>
          <w:noProof/>
          <w:sz w:val="18"/>
          <w:szCs w:val="18"/>
        </w:rPr>
      </w:pPr>
      <w:r w:rsidRPr="00F353BA">
        <w:rPr>
          <w:rFonts w:ascii="Times" w:eastAsia="Times New Roman" w:hAnsi="Times"/>
          <w:noProof/>
          <w:spacing w:val="-5"/>
          <w:sz w:val="18"/>
          <w:szCs w:val="18"/>
        </w:rPr>
        <w:lastRenderedPageBreak/>
        <w:t>In alternativa, gli studenti possono adottare uno dei seguenti manuali:</w:t>
      </w:r>
    </w:p>
    <w:p w14:paraId="11274D96" w14:textId="0BB67D6A" w:rsidR="00F353BA" w:rsidRPr="00F353BA" w:rsidRDefault="00F353BA" w:rsidP="00861027">
      <w:pPr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F353BA">
        <w:rPr>
          <w:rFonts w:ascii="Times" w:eastAsia="Times New Roman" w:hAnsi="Times"/>
          <w:smallCaps/>
          <w:noProof/>
          <w:spacing w:val="-5"/>
          <w:sz w:val="18"/>
          <w:szCs w:val="18"/>
        </w:rPr>
        <w:t>V. Roppo,</w:t>
      </w:r>
      <w:r w:rsidRPr="00F353BA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Diritto privato,</w:t>
      </w:r>
      <w:r w:rsidRPr="00F353BA">
        <w:rPr>
          <w:rFonts w:ascii="Times" w:eastAsia="Times New Roman" w:hAnsi="Times"/>
          <w:noProof/>
          <w:spacing w:val="-5"/>
          <w:sz w:val="18"/>
          <w:szCs w:val="18"/>
        </w:rPr>
        <w:t xml:space="preserve"> Giappichelli, Torino, ult. ed.</w:t>
      </w:r>
      <w:r w:rsidR="006F0B95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hyperlink r:id="rId7" w:history="1">
        <w:r w:rsidR="006F0B95" w:rsidRPr="006F0B95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BD83C8D" w14:textId="77777777" w:rsidR="00F353BA" w:rsidRPr="00F353BA" w:rsidRDefault="00F353BA" w:rsidP="00861027">
      <w:pPr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F353BA">
        <w:rPr>
          <w:rFonts w:ascii="Times" w:eastAsia="Times New Roman" w:hAnsi="Times"/>
          <w:smallCaps/>
          <w:noProof/>
          <w:spacing w:val="-5"/>
          <w:sz w:val="18"/>
          <w:szCs w:val="18"/>
        </w:rPr>
        <w:t xml:space="preserve">E. Gabrielli, </w:t>
      </w:r>
      <w:r w:rsidRPr="00F353BA">
        <w:rPr>
          <w:rFonts w:ascii="Times" w:eastAsia="Times New Roman" w:hAnsi="Times"/>
          <w:i/>
          <w:iCs/>
          <w:noProof/>
          <w:spacing w:val="-5"/>
          <w:sz w:val="18"/>
          <w:szCs w:val="18"/>
        </w:rPr>
        <w:t>Manuale di Diritto Privato</w:t>
      </w:r>
      <w:r w:rsidRPr="00F353BA">
        <w:rPr>
          <w:rFonts w:ascii="Times" w:eastAsia="Times New Roman" w:hAnsi="Times"/>
          <w:noProof/>
          <w:spacing w:val="-5"/>
          <w:sz w:val="18"/>
          <w:szCs w:val="18"/>
        </w:rPr>
        <w:t>, Giappichelli, Torino, ult. ed.</w:t>
      </w:r>
    </w:p>
    <w:p w14:paraId="736C316F" w14:textId="77777777" w:rsidR="00F353BA" w:rsidRPr="00F353BA" w:rsidRDefault="00F353BA" w:rsidP="00861027">
      <w:pPr>
        <w:tabs>
          <w:tab w:val="left" w:pos="284"/>
        </w:tabs>
        <w:spacing w:before="240" w:after="120"/>
        <w:rPr>
          <w:rFonts w:eastAsia="Times New Roman"/>
          <w:b/>
          <w:i/>
          <w:sz w:val="18"/>
          <w:szCs w:val="18"/>
        </w:rPr>
      </w:pPr>
      <w:r w:rsidRPr="00F353BA">
        <w:rPr>
          <w:rFonts w:eastAsia="Times New Roman"/>
          <w:b/>
          <w:i/>
          <w:sz w:val="18"/>
          <w:szCs w:val="18"/>
        </w:rPr>
        <w:t>DIDATTICA DEL CORSO</w:t>
      </w:r>
    </w:p>
    <w:p w14:paraId="18B16DA8" w14:textId="55096B0D" w:rsidR="00F353BA" w:rsidRPr="00F353BA" w:rsidRDefault="00F353BA" w:rsidP="00861027">
      <w:pPr>
        <w:tabs>
          <w:tab w:val="left" w:pos="284"/>
        </w:tabs>
        <w:ind w:firstLine="284"/>
        <w:rPr>
          <w:rFonts w:ascii="Times" w:eastAsia="Arial Unicode MS" w:hAnsi="Times"/>
          <w:noProof/>
          <w:sz w:val="18"/>
          <w:szCs w:val="18"/>
        </w:rPr>
      </w:pPr>
      <w:r w:rsidRPr="00F353BA">
        <w:rPr>
          <w:rFonts w:ascii="Times" w:eastAsia="Arial Unicode MS" w:hAnsi="Times"/>
          <w:noProof/>
          <w:sz w:val="18"/>
          <w:szCs w:val="18"/>
        </w:rPr>
        <w:t>La didattica del corso consta di 70 ore di lezioni frontali</w:t>
      </w:r>
      <w:r w:rsidR="00C67B43">
        <w:rPr>
          <w:rFonts w:ascii="Times" w:eastAsia="Arial Unicode MS" w:hAnsi="Times"/>
          <w:noProof/>
          <w:sz w:val="18"/>
          <w:szCs w:val="18"/>
        </w:rPr>
        <w:t>.</w:t>
      </w:r>
    </w:p>
    <w:p w14:paraId="69C88318" w14:textId="77777777" w:rsidR="00F353BA" w:rsidRPr="00F353BA" w:rsidRDefault="00F353BA" w:rsidP="00861027">
      <w:pPr>
        <w:tabs>
          <w:tab w:val="left" w:pos="284"/>
        </w:tabs>
        <w:spacing w:before="240" w:after="120"/>
        <w:rPr>
          <w:rFonts w:eastAsia="Times New Roman"/>
          <w:b/>
          <w:i/>
          <w:sz w:val="18"/>
          <w:szCs w:val="18"/>
        </w:rPr>
      </w:pPr>
      <w:r w:rsidRPr="00F353BA">
        <w:rPr>
          <w:rFonts w:eastAsia="Times New Roman"/>
          <w:b/>
          <w:i/>
          <w:sz w:val="18"/>
          <w:szCs w:val="18"/>
        </w:rPr>
        <w:t>METODO E CRITERI DI VALUTAZIONE</w:t>
      </w:r>
    </w:p>
    <w:p w14:paraId="4C5A3158" w14:textId="77777777" w:rsidR="00F353BA" w:rsidRPr="00F353BA" w:rsidRDefault="00F353BA" w:rsidP="00861027">
      <w:pPr>
        <w:tabs>
          <w:tab w:val="left" w:pos="284"/>
        </w:tabs>
        <w:ind w:firstLine="284"/>
        <w:rPr>
          <w:rFonts w:ascii="Times" w:eastAsia="Arial Unicode MS" w:hAnsi="Times"/>
          <w:noProof/>
          <w:sz w:val="18"/>
          <w:szCs w:val="20"/>
        </w:rPr>
      </w:pPr>
      <w:r w:rsidRPr="00F353BA">
        <w:rPr>
          <w:rFonts w:ascii="Times" w:eastAsia="Arial Unicode MS" w:hAnsi="Times"/>
          <w:noProof/>
          <w:sz w:val="18"/>
          <w:szCs w:val="20"/>
        </w:rPr>
        <w:t>Esame orale. Il processo di valutazione mira a verificare le conoscenze di base degli istituti oggetto di studio, e regolati essenzialmente dal codice civile, ma soprattutto a verificare la padronanza delle categorie del diritto privato e la capacità di farne applicazione rispetto a casi pratici.</w:t>
      </w:r>
    </w:p>
    <w:p w14:paraId="3B23DFF3" w14:textId="77777777" w:rsidR="00F353BA" w:rsidRPr="00F353BA" w:rsidRDefault="00F353BA" w:rsidP="00861027">
      <w:pPr>
        <w:tabs>
          <w:tab w:val="left" w:pos="284"/>
        </w:tabs>
        <w:ind w:firstLine="284"/>
        <w:rPr>
          <w:rFonts w:ascii="Times" w:eastAsia="Arial Unicode MS" w:hAnsi="Times"/>
          <w:noProof/>
          <w:sz w:val="18"/>
          <w:szCs w:val="20"/>
        </w:rPr>
      </w:pPr>
      <w:r w:rsidRPr="00F353BA">
        <w:rPr>
          <w:rFonts w:ascii="Times" w:eastAsia="Arial Unicode MS" w:hAnsi="Times"/>
          <w:noProof/>
          <w:sz w:val="18"/>
          <w:szCs w:val="20"/>
        </w:rPr>
        <w:t>A tale scopo l’esame prende le mosse dalla verifica della padronanza degli istituti a portata più generale, la cui conocenza è indispensabile per il superamento dell’esame, per giungere all’accertamento di conoscenze di maggior dettaglio, che determina la valutazione finale. La valutazione tende comunque a privilegiare, rispetto alla conoscenza mnemonica, la verifica della capacità dello studente di comprendere i fondamenti razionali degli istituti analizzati, anche tramite opportuni collegamenti tra gli stessi.</w:t>
      </w:r>
    </w:p>
    <w:p w14:paraId="6A534517" w14:textId="77777777" w:rsidR="00F353BA" w:rsidRPr="00F353BA" w:rsidRDefault="00F353BA" w:rsidP="00861027">
      <w:pPr>
        <w:tabs>
          <w:tab w:val="left" w:pos="284"/>
        </w:tabs>
        <w:spacing w:before="240" w:after="120"/>
        <w:rPr>
          <w:rFonts w:eastAsia="Arial Unicode MS"/>
          <w:b/>
          <w:i/>
          <w:sz w:val="18"/>
        </w:rPr>
      </w:pPr>
      <w:r w:rsidRPr="00F353BA">
        <w:rPr>
          <w:rFonts w:eastAsia="Arial Unicode MS"/>
          <w:b/>
          <w:i/>
          <w:sz w:val="18"/>
        </w:rPr>
        <w:t>AVVERTENZE E PREREQUISITI</w:t>
      </w:r>
    </w:p>
    <w:p w14:paraId="178E7F11" w14:textId="04F08C9D" w:rsidR="00F353BA" w:rsidRPr="00F353BA" w:rsidRDefault="00F353BA" w:rsidP="00861027">
      <w:pPr>
        <w:tabs>
          <w:tab w:val="left" w:pos="284"/>
        </w:tabs>
        <w:ind w:firstLine="284"/>
        <w:rPr>
          <w:rFonts w:ascii="Times" w:eastAsia="Times New Roman" w:hAnsi="Times"/>
          <w:noProof/>
          <w:sz w:val="18"/>
          <w:szCs w:val="20"/>
        </w:rPr>
      </w:pPr>
      <w:r w:rsidRPr="00F353BA">
        <w:rPr>
          <w:rFonts w:ascii="Times" w:eastAsia="Times New Roman" w:hAnsi="Times"/>
          <w:noProof/>
          <w:sz w:val="18"/>
          <w:szCs w:val="20"/>
        </w:rPr>
        <w:t xml:space="preserve">È indispensabile una adeguata conoscenza, relativamente agli istituti oggetto del corso, della Costituzione, del Codice civile e delle leggi che lo integrano. Al riguardo si consigliano, in alternativa: </w:t>
      </w:r>
      <w:r w:rsidRPr="00F353BA">
        <w:rPr>
          <w:rFonts w:ascii="Times" w:eastAsia="Times New Roman" w:hAnsi="Times"/>
          <w:smallCaps/>
          <w:noProof/>
          <w:spacing w:val="-5"/>
          <w:sz w:val="18"/>
          <w:szCs w:val="20"/>
        </w:rPr>
        <w:t>De Nova</w:t>
      </w:r>
      <w:r w:rsidRPr="00F353BA">
        <w:rPr>
          <w:rFonts w:ascii="Times" w:eastAsia="Times New Roman" w:hAnsi="Times"/>
          <w:noProof/>
          <w:sz w:val="18"/>
          <w:szCs w:val="20"/>
        </w:rPr>
        <w:t xml:space="preserve">, </w:t>
      </w:r>
      <w:r w:rsidRPr="00F353BA">
        <w:rPr>
          <w:rFonts w:ascii="Times" w:eastAsia="Times New Roman" w:hAnsi="Times"/>
          <w:i/>
          <w:noProof/>
          <w:sz w:val="18"/>
          <w:szCs w:val="20"/>
        </w:rPr>
        <w:t>Codice civile e leggi collegate</w:t>
      </w:r>
      <w:r w:rsidRPr="00F353BA">
        <w:rPr>
          <w:rFonts w:ascii="Times" w:eastAsia="Times New Roman" w:hAnsi="Times"/>
          <w:noProof/>
          <w:sz w:val="18"/>
          <w:szCs w:val="20"/>
        </w:rPr>
        <w:t>, Zanichelli, ult.ed.</w:t>
      </w:r>
      <w:r w:rsidR="006F0B95" w:rsidRPr="006F0B95">
        <w:rPr>
          <w:i/>
          <w:color w:val="0070C0"/>
          <w:sz w:val="18"/>
          <w:szCs w:val="18"/>
        </w:rPr>
        <w:t xml:space="preserve"> </w:t>
      </w:r>
      <w:hyperlink r:id="rId8" w:history="1">
        <w:r w:rsidR="006F0B95" w:rsidRPr="006F0B95">
          <w:rPr>
            <w:rStyle w:val="Collegamentoipertestuale"/>
            <w:i/>
            <w:sz w:val="18"/>
            <w:szCs w:val="18"/>
          </w:rPr>
          <w:t>Acquista da VP</w:t>
        </w:r>
      </w:hyperlink>
      <w:r w:rsidRPr="00F353BA">
        <w:rPr>
          <w:rFonts w:ascii="Times" w:eastAsia="Times New Roman" w:hAnsi="Times"/>
          <w:noProof/>
          <w:sz w:val="18"/>
          <w:szCs w:val="20"/>
        </w:rPr>
        <w:t xml:space="preserve">; </w:t>
      </w:r>
      <w:r w:rsidRPr="00F353BA">
        <w:rPr>
          <w:rFonts w:ascii="Times" w:eastAsia="Times New Roman" w:hAnsi="Times"/>
          <w:smallCaps/>
          <w:noProof/>
          <w:spacing w:val="-5"/>
          <w:sz w:val="18"/>
          <w:szCs w:val="20"/>
        </w:rPr>
        <w:t>Di Majo</w:t>
      </w:r>
      <w:r w:rsidRPr="00F353BA">
        <w:rPr>
          <w:rFonts w:ascii="Times" w:eastAsia="Times New Roman" w:hAnsi="Times"/>
          <w:noProof/>
          <w:sz w:val="18"/>
          <w:szCs w:val="20"/>
        </w:rPr>
        <w:t xml:space="preserve">, </w:t>
      </w:r>
      <w:r w:rsidRPr="00F353BA">
        <w:rPr>
          <w:rFonts w:ascii="Times" w:eastAsia="Times New Roman" w:hAnsi="Times"/>
          <w:i/>
          <w:noProof/>
          <w:sz w:val="18"/>
          <w:szCs w:val="20"/>
        </w:rPr>
        <w:t>Codice civile</w:t>
      </w:r>
      <w:r w:rsidRPr="00F353BA">
        <w:rPr>
          <w:rFonts w:ascii="Times" w:eastAsia="Times New Roman" w:hAnsi="Times"/>
          <w:noProof/>
          <w:sz w:val="18"/>
          <w:szCs w:val="20"/>
        </w:rPr>
        <w:t>, Giuffré, ult. ed.</w:t>
      </w:r>
      <w:r w:rsidR="006F0B95">
        <w:rPr>
          <w:rFonts w:ascii="Times" w:eastAsia="Times New Roman" w:hAnsi="Times"/>
          <w:noProof/>
          <w:sz w:val="18"/>
          <w:szCs w:val="20"/>
        </w:rPr>
        <w:t xml:space="preserve"> </w:t>
      </w:r>
      <w:hyperlink r:id="rId9" w:history="1">
        <w:r w:rsidR="006F0B95" w:rsidRPr="006F0B95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50AD5E61" w14:textId="77777777" w:rsidR="00F353BA" w:rsidRPr="00F353BA" w:rsidRDefault="00F353BA" w:rsidP="00861027">
      <w:pPr>
        <w:tabs>
          <w:tab w:val="left" w:pos="284"/>
        </w:tabs>
        <w:ind w:firstLine="284"/>
        <w:rPr>
          <w:rFonts w:ascii="Times" w:eastAsia="Times New Roman" w:hAnsi="Times"/>
          <w:noProof/>
          <w:sz w:val="18"/>
          <w:szCs w:val="20"/>
        </w:rPr>
      </w:pPr>
      <w:r w:rsidRPr="00F353BA">
        <w:rPr>
          <w:rFonts w:ascii="Times" w:eastAsia="Times New Roman" w:hAnsi="Times"/>
          <w:noProof/>
          <w:sz w:val="18"/>
          <w:szCs w:val="20"/>
        </w:rPr>
        <w:t>Per tale insegnamento non sono previsti prerequisiti specifici.</w:t>
      </w:r>
    </w:p>
    <w:p w14:paraId="260A99B7" w14:textId="77777777" w:rsidR="00F353BA" w:rsidRPr="00F353BA" w:rsidRDefault="00F353BA" w:rsidP="00861027">
      <w:pPr>
        <w:tabs>
          <w:tab w:val="left" w:pos="284"/>
        </w:tabs>
        <w:spacing w:before="120"/>
        <w:ind w:firstLine="284"/>
        <w:rPr>
          <w:rFonts w:ascii="Times" w:eastAsia="Times New Roman" w:hAnsi="Times"/>
          <w:i/>
          <w:noProof/>
          <w:sz w:val="18"/>
          <w:szCs w:val="20"/>
        </w:rPr>
      </w:pPr>
      <w:r w:rsidRPr="00F353BA">
        <w:rPr>
          <w:rFonts w:ascii="Times" w:eastAsia="Times New Roman" w:hAnsi="Times"/>
          <w:i/>
          <w:noProof/>
          <w:sz w:val="18"/>
          <w:szCs w:val="20"/>
        </w:rPr>
        <w:t>Orario e luogo di ricevimento</w:t>
      </w:r>
    </w:p>
    <w:p w14:paraId="139C1457" w14:textId="502E5FD5" w:rsidR="00C67B43" w:rsidRPr="00C67B43" w:rsidRDefault="00E019A4" w:rsidP="00861027">
      <w:pPr>
        <w:tabs>
          <w:tab w:val="left" w:pos="284"/>
        </w:tabs>
        <w:ind w:firstLine="284"/>
        <w:rPr>
          <w:rFonts w:ascii="Times" w:eastAsia="Times New Roman" w:hAnsi="Times"/>
          <w:iCs/>
          <w:sz w:val="18"/>
          <w:szCs w:val="18"/>
        </w:rPr>
      </w:pPr>
      <w:r>
        <w:rPr>
          <w:rFonts w:ascii="Times" w:eastAsia="Times New Roman" w:hAnsi="Times"/>
          <w:sz w:val="18"/>
          <w:szCs w:val="18"/>
        </w:rPr>
        <w:t>I docenti comunicheranno a lezione orario e luogo di ricevimento.</w:t>
      </w:r>
    </w:p>
    <w:sectPr w:rsidR="00C67B43" w:rsidRPr="00C67B43" w:rsidSect="003F075C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5DBB" w14:textId="77777777" w:rsidR="00907106" w:rsidRDefault="00907106" w:rsidP="00412698">
      <w:pPr>
        <w:spacing w:line="240" w:lineRule="auto"/>
      </w:pPr>
      <w:r>
        <w:separator/>
      </w:r>
    </w:p>
  </w:endnote>
  <w:endnote w:type="continuationSeparator" w:id="0">
    <w:p w14:paraId="15AA9761" w14:textId="77777777" w:rsidR="00907106" w:rsidRDefault="00907106" w:rsidP="00412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5237" w14:textId="77777777" w:rsidR="00907106" w:rsidRDefault="00907106" w:rsidP="00412698">
      <w:pPr>
        <w:spacing w:line="240" w:lineRule="auto"/>
      </w:pPr>
      <w:r>
        <w:separator/>
      </w:r>
    </w:p>
  </w:footnote>
  <w:footnote w:type="continuationSeparator" w:id="0">
    <w:p w14:paraId="67B21571" w14:textId="77777777" w:rsidR="00907106" w:rsidRDefault="00907106" w:rsidP="00412698">
      <w:pPr>
        <w:spacing w:line="240" w:lineRule="auto"/>
      </w:pPr>
      <w:r>
        <w:continuationSeparator/>
      </w:r>
    </w:p>
  </w:footnote>
  <w:footnote w:id="1">
    <w:p w14:paraId="45DCC89B" w14:textId="5721E078" w:rsidR="006F0B95" w:rsidRDefault="006F0B9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792D"/>
    <w:multiLevelType w:val="hybridMultilevel"/>
    <w:tmpl w:val="9C56FF66"/>
    <w:lvl w:ilvl="0" w:tplc="92CAE5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226C1"/>
    <w:multiLevelType w:val="hybridMultilevel"/>
    <w:tmpl w:val="58A4041A"/>
    <w:lvl w:ilvl="0" w:tplc="DE24BB0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652A7"/>
    <w:multiLevelType w:val="hybridMultilevel"/>
    <w:tmpl w:val="4DBEF9A8"/>
    <w:lvl w:ilvl="0" w:tplc="CD20C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80774"/>
    <w:multiLevelType w:val="hybridMultilevel"/>
    <w:tmpl w:val="19E02964"/>
    <w:lvl w:ilvl="0" w:tplc="5D8E6E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17598"/>
    <w:multiLevelType w:val="hybridMultilevel"/>
    <w:tmpl w:val="736C8E12"/>
    <w:lvl w:ilvl="0" w:tplc="B1CEA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2059B"/>
    <w:multiLevelType w:val="hybridMultilevel"/>
    <w:tmpl w:val="4BC668E4"/>
    <w:lvl w:ilvl="0" w:tplc="6406C0F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31C06"/>
    <w:multiLevelType w:val="hybridMultilevel"/>
    <w:tmpl w:val="8CDC4322"/>
    <w:lvl w:ilvl="0" w:tplc="4402633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07941">
    <w:abstractNumId w:val="3"/>
  </w:num>
  <w:num w:numId="2" w16cid:durableId="467626104">
    <w:abstractNumId w:val="4"/>
  </w:num>
  <w:num w:numId="3" w16cid:durableId="408507233">
    <w:abstractNumId w:val="5"/>
  </w:num>
  <w:num w:numId="4" w16cid:durableId="1069842221">
    <w:abstractNumId w:val="1"/>
  </w:num>
  <w:num w:numId="5" w16cid:durableId="1391228891">
    <w:abstractNumId w:val="6"/>
  </w:num>
  <w:num w:numId="6" w16cid:durableId="2065713321">
    <w:abstractNumId w:val="0"/>
  </w:num>
  <w:num w:numId="7" w16cid:durableId="165488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698"/>
    <w:rsid w:val="000062CB"/>
    <w:rsid w:val="00174972"/>
    <w:rsid w:val="00202423"/>
    <w:rsid w:val="00232E3A"/>
    <w:rsid w:val="0023604C"/>
    <w:rsid w:val="00266D50"/>
    <w:rsid w:val="002A720F"/>
    <w:rsid w:val="002E272C"/>
    <w:rsid w:val="00311D38"/>
    <w:rsid w:val="00317F30"/>
    <w:rsid w:val="003F06DE"/>
    <w:rsid w:val="003F075C"/>
    <w:rsid w:val="00412698"/>
    <w:rsid w:val="00441D9A"/>
    <w:rsid w:val="0046273B"/>
    <w:rsid w:val="00477750"/>
    <w:rsid w:val="004C3918"/>
    <w:rsid w:val="004D1217"/>
    <w:rsid w:val="004D58DB"/>
    <w:rsid w:val="004D6008"/>
    <w:rsid w:val="004E6827"/>
    <w:rsid w:val="00513310"/>
    <w:rsid w:val="00540B48"/>
    <w:rsid w:val="006966C0"/>
    <w:rsid w:val="006B5033"/>
    <w:rsid w:val="006B73B1"/>
    <w:rsid w:val="006C0003"/>
    <w:rsid w:val="006E00BA"/>
    <w:rsid w:val="006F0B95"/>
    <w:rsid w:val="006F1772"/>
    <w:rsid w:val="006F5A9D"/>
    <w:rsid w:val="007212A0"/>
    <w:rsid w:val="007F5261"/>
    <w:rsid w:val="00823149"/>
    <w:rsid w:val="0085263A"/>
    <w:rsid w:val="008579B4"/>
    <w:rsid w:val="00861027"/>
    <w:rsid w:val="008663A0"/>
    <w:rsid w:val="008879BB"/>
    <w:rsid w:val="00907106"/>
    <w:rsid w:val="00910727"/>
    <w:rsid w:val="00940DA2"/>
    <w:rsid w:val="00962BCF"/>
    <w:rsid w:val="00A03093"/>
    <w:rsid w:val="00A3086C"/>
    <w:rsid w:val="00A528DB"/>
    <w:rsid w:val="00AB5A0C"/>
    <w:rsid w:val="00BE535B"/>
    <w:rsid w:val="00BF2BE1"/>
    <w:rsid w:val="00C55D67"/>
    <w:rsid w:val="00C61D2E"/>
    <w:rsid w:val="00C67B43"/>
    <w:rsid w:val="00C73FC1"/>
    <w:rsid w:val="00D16693"/>
    <w:rsid w:val="00D50235"/>
    <w:rsid w:val="00D52CFC"/>
    <w:rsid w:val="00D6469B"/>
    <w:rsid w:val="00E019A4"/>
    <w:rsid w:val="00F353BA"/>
    <w:rsid w:val="00F85B68"/>
    <w:rsid w:val="00F92FD9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4D39C"/>
  <w15:docId w15:val="{6BFD41D9-9C81-4F53-9DCE-36CE6B6B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2698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412698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412698"/>
    <w:rPr>
      <w:rFonts w:ascii="Times" w:hAnsi="Times"/>
      <w:smallCaps/>
      <w:noProof/>
      <w:sz w:val="18"/>
    </w:rPr>
  </w:style>
  <w:style w:type="paragraph" w:styleId="Paragrafoelenco">
    <w:name w:val="List Paragraph"/>
    <w:basedOn w:val="Normale"/>
    <w:uiPriority w:val="34"/>
    <w:qFormat/>
    <w:rsid w:val="00412698"/>
    <w:pPr>
      <w:spacing w:line="240" w:lineRule="auto"/>
      <w:ind w:left="720"/>
      <w:contextualSpacing/>
    </w:pPr>
    <w:rPr>
      <w:rFonts w:eastAsia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1269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2698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41269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12698"/>
    <w:rPr>
      <w:rFonts w:eastAsia="MS Mincho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266D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66D50"/>
    <w:rPr>
      <w:rFonts w:ascii="Segoe UI" w:eastAsia="MS Mincho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F0B9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F0B95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6F0B95"/>
    <w:rPr>
      <w:vertAlign w:val="superscript"/>
    </w:rPr>
  </w:style>
  <w:style w:type="character" w:styleId="Collegamentoipertestuale">
    <w:name w:val="Hyperlink"/>
    <w:basedOn w:val="Carpredefinitoparagrafo"/>
    <w:unhideWhenUsed/>
    <w:rsid w:val="006F0B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0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rgio-de-nova/codice-civile-e-leggi-collegate-2026-9788808343871-395398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vincenzo-roppo/diritto-privato-9791221109375-73803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adolfo-di-majo/codice-civile-con-la-costituzione-i-trattati-ue-e-le-principali-norme-complementari-9788828878902-3952336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2018-05-24T08:54:00Z</cp:lastPrinted>
  <dcterms:created xsi:type="dcterms:W3CDTF">2026-07-09T09:55:00Z</dcterms:created>
  <dcterms:modified xsi:type="dcterms:W3CDTF">2026-07-13T13:46:00Z</dcterms:modified>
</cp:coreProperties>
</file>