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DC4551" w14:textId="65870AB1" w:rsidR="003817DB" w:rsidRPr="00C40DBF" w:rsidRDefault="003817DB" w:rsidP="00D932D8">
      <w:pPr>
        <w:pStyle w:val="Titolo1"/>
      </w:pPr>
      <w:r w:rsidRPr="00C40DBF">
        <w:t>Istituzioni di diritto privato</w:t>
      </w:r>
      <w:r w:rsidR="00BB2454">
        <w:t xml:space="preserve"> </w:t>
      </w:r>
    </w:p>
    <w:p w14:paraId="3C5BF457" w14:textId="474EAC41" w:rsidR="003817DB" w:rsidRDefault="009C0E96" w:rsidP="00D932D8">
      <w:pPr>
        <w:pStyle w:val="Titolo2"/>
        <w:rPr>
          <w:smallCaps w:val="0"/>
        </w:rPr>
      </w:pPr>
      <w:r>
        <w:t xml:space="preserve">Prof. </w:t>
      </w:r>
      <w:r w:rsidR="00AB1282">
        <w:t>Giovanni Schiavone</w:t>
      </w:r>
    </w:p>
    <w:p w14:paraId="2EB98520" w14:textId="77777777" w:rsidR="00BE3DB5" w:rsidRDefault="00BE3DB5" w:rsidP="00D932D8">
      <w:pPr>
        <w:spacing w:before="240" w:after="120" w:line="240" w:lineRule="exact"/>
        <w:rPr>
          <w:rFonts w:eastAsiaTheme="minorHAnsi"/>
          <w:b/>
          <w:sz w:val="18"/>
          <w:lang w:eastAsia="en-US"/>
        </w:rPr>
      </w:pPr>
      <w:r>
        <w:rPr>
          <w:rFonts w:eastAsiaTheme="minorHAnsi"/>
          <w:b/>
          <w:i/>
          <w:sz w:val="18"/>
          <w:lang w:eastAsia="en-US"/>
        </w:rPr>
        <w:t>OBIETTIVO DEL CORSO E RISULTATI DI APPRENDIMENTO ATTESI</w:t>
      </w:r>
    </w:p>
    <w:p w14:paraId="1E34D619" w14:textId="1CC03F0B" w:rsidR="00BE3DB5" w:rsidRDefault="00753612" w:rsidP="00D932D8">
      <w:pPr>
        <w:spacing w:line="240" w:lineRule="exact"/>
      </w:pPr>
      <w:r>
        <w:t>I</w:t>
      </w:r>
      <w:r w:rsidR="00DD7A34">
        <w:t>l corso introduce</w:t>
      </w:r>
      <w:r w:rsidR="00BB2454">
        <w:t xml:space="preserve"> </w:t>
      </w:r>
      <w:r>
        <w:t xml:space="preserve">in primo luogo </w:t>
      </w:r>
      <w:r w:rsidR="00BB2454">
        <w:t xml:space="preserve">lo studente a un approccio scientifico del fenomeno giuridico, </w:t>
      </w:r>
      <w:r w:rsidR="00324AA3">
        <w:t>forn</w:t>
      </w:r>
      <w:r w:rsidR="00DD7A34">
        <w:t>endo gli strumenti metodologici di base per l’interpretazione del dato normativo e per una corretta analisi dell’attività giur</w:t>
      </w:r>
      <w:r w:rsidR="00252DFF">
        <w:t xml:space="preserve">isprudenziale. Esauriti i concetti introduttivi, tra cui la struttura essenziale del processo civile, </w:t>
      </w:r>
      <w:r>
        <w:t xml:space="preserve">lo sviluppo del programma consiste nell’analisi degli </w:t>
      </w:r>
      <w:r w:rsidR="00BE3DB5" w:rsidRPr="00694B96">
        <w:t xml:space="preserve">istituti fondamentali del diritto </w:t>
      </w:r>
      <w:r w:rsidR="004E5BB1">
        <w:t>privato</w:t>
      </w:r>
      <w:r>
        <w:t>,</w:t>
      </w:r>
      <w:r w:rsidR="00BE3DB5" w:rsidRPr="00694B96">
        <w:t xml:space="preserve"> con </w:t>
      </w:r>
      <w:r>
        <w:t>l’obiettivo</w:t>
      </w:r>
      <w:r w:rsidR="00BE3DB5" w:rsidRPr="00694B96">
        <w:t xml:space="preserve"> di far acquisire agli studenti </w:t>
      </w:r>
      <w:r w:rsidR="00252DFF">
        <w:t xml:space="preserve">consapevolezza </w:t>
      </w:r>
      <w:r w:rsidR="004E5BB1">
        <w:t>delle categorie</w:t>
      </w:r>
      <w:r w:rsidR="00BE3DB5" w:rsidRPr="00694B96">
        <w:t xml:space="preserve"> basilari </w:t>
      </w:r>
      <w:r w:rsidR="00BE3DB5">
        <w:t>della materia</w:t>
      </w:r>
      <w:r w:rsidR="004E5BB1">
        <w:t>, p</w:t>
      </w:r>
      <w:r w:rsidR="00BE3DB5">
        <w:t>adronanza del linguaggio giuridico e capacità di comprensione sistematica degli istituti</w:t>
      </w:r>
      <w:r w:rsidR="004E5BB1">
        <w:t>.</w:t>
      </w:r>
    </w:p>
    <w:p w14:paraId="4EF38873" w14:textId="1740671B" w:rsidR="00C70B1D" w:rsidRDefault="00C70B1D" w:rsidP="00D932D8">
      <w:pPr>
        <w:spacing w:line="240" w:lineRule="exact"/>
      </w:pPr>
      <w:r>
        <w:t>Al termine del corso lo studente</w:t>
      </w:r>
      <w:r w:rsidR="00AB1282" w:rsidRPr="00AB1282">
        <w:t xml:space="preserve"> avrà acquisito un corretto impiego del linguaggio giuridico</w:t>
      </w:r>
      <w:r w:rsidR="00AB1282">
        <w:t xml:space="preserve"> e</w:t>
      </w:r>
      <w:r>
        <w:t xml:space="preserve"> </w:t>
      </w:r>
      <w:r w:rsidR="00D256F2">
        <w:t xml:space="preserve">la conoscenza </w:t>
      </w:r>
      <w:r w:rsidR="00D46E25">
        <w:t>de</w:t>
      </w:r>
      <w:r w:rsidR="00154BB7">
        <w:t>gli istituti</w:t>
      </w:r>
      <w:r w:rsidR="00D46E25">
        <w:t xml:space="preserve"> che compongono il sistema del</w:t>
      </w:r>
      <w:r w:rsidR="00063F99">
        <w:t xml:space="preserve"> diritto privato, </w:t>
      </w:r>
      <w:r w:rsidR="00744BBF">
        <w:t>co</w:t>
      </w:r>
      <w:r w:rsidR="00154BB7">
        <w:t xml:space="preserve">sì come </w:t>
      </w:r>
      <w:r w:rsidR="00AB1282">
        <w:t>disciplinati ne</w:t>
      </w:r>
      <w:r w:rsidR="00744BBF">
        <w:t>l</w:t>
      </w:r>
      <w:r w:rsidR="0076448C">
        <w:t xml:space="preserve"> </w:t>
      </w:r>
      <w:r w:rsidR="00753612">
        <w:t>Codice civile</w:t>
      </w:r>
      <w:r w:rsidR="00AB1282">
        <w:t xml:space="preserve"> e nei principali testi legislativi ad esso collegati</w:t>
      </w:r>
      <w:r w:rsidR="00154BB7">
        <w:t>.</w:t>
      </w:r>
      <w:r w:rsidR="00D46E25">
        <w:t xml:space="preserve"> Lo studente avrà acquisito, inoltre, la capacità di analisi dei testi giurisprudenziali e sarò in grado di fornire una soluzione a casi emblematici inerenti agli istituti privatistici.</w:t>
      </w:r>
    </w:p>
    <w:p w14:paraId="6C063CC5" w14:textId="77777777" w:rsidR="00BE3DB5" w:rsidRDefault="00BE3DB5" w:rsidP="00D932D8">
      <w:pPr>
        <w:spacing w:before="240" w:after="120" w:line="240" w:lineRule="exact"/>
        <w:rPr>
          <w:rFonts w:eastAsiaTheme="minorHAnsi"/>
          <w:b/>
          <w:i/>
          <w:sz w:val="18"/>
          <w:lang w:eastAsia="en-US"/>
        </w:rPr>
      </w:pPr>
      <w:r>
        <w:rPr>
          <w:rFonts w:eastAsiaTheme="minorHAnsi"/>
          <w:b/>
          <w:i/>
          <w:sz w:val="18"/>
          <w:lang w:eastAsia="en-US"/>
        </w:rPr>
        <w:t>PROGRAMMA DEL CORSO</w:t>
      </w:r>
    </w:p>
    <w:p w14:paraId="597457AB" w14:textId="40AC81B1" w:rsidR="000245B8" w:rsidRPr="00FC550F" w:rsidRDefault="00721D9C" w:rsidP="000245B8">
      <w:pPr>
        <w:pStyle w:val="Paragrafoelenco"/>
        <w:numPr>
          <w:ilvl w:val="0"/>
          <w:numId w:val="2"/>
        </w:numPr>
        <w:spacing w:before="240" w:after="120" w:line="240" w:lineRule="exact"/>
        <w:rPr>
          <w:szCs w:val="20"/>
        </w:rPr>
      </w:pPr>
      <w:r w:rsidRPr="00FC550F">
        <w:rPr>
          <w:rFonts w:eastAsiaTheme="minorHAnsi"/>
          <w:bCs/>
          <w:iCs/>
          <w:szCs w:val="20"/>
          <w:lang w:eastAsia="en-US"/>
        </w:rPr>
        <w:t>Il diritto privato nell’esperienza giuridica. Gli ordinamenti giuridici. Disposizione e norma</w:t>
      </w:r>
      <w:r w:rsidR="007154D4" w:rsidRPr="00FC550F">
        <w:rPr>
          <w:rFonts w:eastAsiaTheme="minorHAnsi"/>
          <w:bCs/>
          <w:iCs/>
          <w:szCs w:val="20"/>
          <w:lang w:eastAsia="en-US"/>
        </w:rPr>
        <w:t>.</w:t>
      </w:r>
      <w:r w:rsidRPr="00FC550F">
        <w:rPr>
          <w:rFonts w:eastAsiaTheme="minorHAnsi"/>
          <w:bCs/>
          <w:iCs/>
          <w:szCs w:val="20"/>
          <w:lang w:eastAsia="en-US"/>
        </w:rPr>
        <w:t xml:space="preserve"> I fatti produttivi di norme.</w:t>
      </w:r>
      <w:r w:rsidR="007154D4" w:rsidRPr="00FC550F">
        <w:rPr>
          <w:rFonts w:eastAsiaTheme="minorHAnsi"/>
          <w:bCs/>
          <w:iCs/>
          <w:szCs w:val="20"/>
          <w:lang w:eastAsia="en-US"/>
        </w:rPr>
        <w:t xml:space="preserve"> Costituzione e diritto privato.</w:t>
      </w:r>
      <w:r w:rsidRPr="00FC550F">
        <w:rPr>
          <w:rFonts w:eastAsiaTheme="minorHAnsi"/>
          <w:bCs/>
          <w:iCs/>
          <w:szCs w:val="20"/>
          <w:lang w:eastAsia="en-US"/>
        </w:rPr>
        <w:t xml:space="preserve"> Il diritto privato europeo.</w:t>
      </w:r>
      <w:r w:rsidR="000245B8" w:rsidRPr="00FC550F">
        <w:rPr>
          <w:rFonts w:eastAsiaTheme="minorHAnsi"/>
          <w:bCs/>
          <w:iCs/>
          <w:szCs w:val="20"/>
          <w:lang w:eastAsia="en-US"/>
        </w:rPr>
        <w:t xml:space="preserve"> Regole e principi</w:t>
      </w:r>
      <w:r w:rsidRPr="00FC550F">
        <w:rPr>
          <w:rFonts w:eastAsiaTheme="minorHAnsi"/>
          <w:bCs/>
          <w:iCs/>
          <w:szCs w:val="20"/>
          <w:lang w:eastAsia="en-US"/>
        </w:rPr>
        <w:t xml:space="preserve">. </w:t>
      </w:r>
      <w:r w:rsidR="00146B3A">
        <w:rPr>
          <w:rFonts w:eastAsiaTheme="minorHAnsi"/>
          <w:bCs/>
          <w:iCs/>
          <w:szCs w:val="20"/>
          <w:lang w:eastAsia="en-US"/>
        </w:rPr>
        <w:t>I</w:t>
      </w:r>
      <w:r w:rsidR="007154D4" w:rsidRPr="00FC550F">
        <w:rPr>
          <w:rFonts w:eastAsiaTheme="minorHAnsi"/>
          <w:bCs/>
          <w:iCs/>
          <w:szCs w:val="20"/>
          <w:lang w:eastAsia="en-US"/>
        </w:rPr>
        <w:t>nterpretazione</w:t>
      </w:r>
      <w:r w:rsidR="00146B3A">
        <w:rPr>
          <w:rFonts w:eastAsiaTheme="minorHAnsi"/>
          <w:bCs/>
          <w:iCs/>
          <w:szCs w:val="20"/>
          <w:lang w:eastAsia="en-US"/>
        </w:rPr>
        <w:t xml:space="preserve"> e </w:t>
      </w:r>
      <w:r w:rsidR="007154D4" w:rsidRPr="00FC550F">
        <w:rPr>
          <w:rFonts w:eastAsiaTheme="minorHAnsi"/>
          <w:bCs/>
          <w:iCs/>
          <w:szCs w:val="20"/>
          <w:lang w:eastAsia="en-US"/>
        </w:rPr>
        <w:t>applicazione.</w:t>
      </w:r>
      <w:r w:rsidR="006E195D" w:rsidRPr="00FC550F">
        <w:rPr>
          <w:rFonts w:eastAsiaTheme="minorHAnsi"/>
          <w:bCs/>
          <w:iCs/>
          <w:szCs w:val="20"/>
          <w:lang w:eastAsia="en-US"/>
        </w:rPr>
        <w:t xml:space="preserve"> La giurisprudenza.</w:t>
      </w:r>
      <w:r w:rsidR="007154D4" w:rsidRPr="00FC550F">
        <w:rPr>
          <w:rFonts w:eastAsiaTheme="minorHAnsi"/>
          <w:bCs/>
          <w:iCs/>
          <w:szCs w:val="20"/>
          <w:lang w:eastAsia="en-US"/>
        </w:rPr>
        <w:t xml:space="preserve"> </w:t>
      </w:r>
      <w:r w:rsidR="000245B8" w:rsidRPr="00FC550F">
        <w:rPr>
          <w:rFonts w:eastAsiaTheme="minorHAnsi"/>
          <w:bCs/>
          <w:iCs/>
          <w:szCs w:val="20"/>
          <w:lang w:eastAsia="en-US"/>
        </w:rPr>
        <w:t>Il Codice Civile.</w:t>
      </w:r>
    </w:p>
    <w:p w14:paraId="70A4F29A" w14:textId="07991506" w:rsidR="000245B8" w:rsidRPr="000245B8" w:rsidRDefault="000A3834" w:rsidP="000245B8">
      <w:pPr>
        <w:pStyle w:val="Paragrafoelenco"/>
        <w:numPr>
          <w:ilvl w:val="0"/>
          <w:numId w:val="2"/>
        </w:numPr>
        <w:spacing w:before="240" w:after="120" w:line="240" w:lineRule="exact"/>
      </w:pPr>
      <w:r>
        <w:t>Le</w:t>
      </w:r>
      <w:r w:rsidR="006E195D">
        <w:t xml:space="preserve"> situazioni</w:t>
      </w:r>
      <w:r>
        <w:t xml:space="preserve"> giuridiche</w:t>
      </w:r>
      <w:r w:rsidR="006E195D">
        <w:t xml:space="preserve"> soggettive</w:t>
      </w:r>
      <w:r w:rsidR="00CE24E5">
        <w:t>. Diritti soggettivi e interessi legittimi. Diritti assoluti e diritti relativi. Le situazioni soggettive passive.</w:t>
      </w:r>
      <w:r>
        <w:t xml:space="preserve"> L’oggetto del rapporto giuridico: beni e patrimonio.</w:t>
      </w:r>
      <w:r w:rsidR="00CE24E5">
        <w:t xml:space="preserve"> L’esercizio del diritto soggettivo</w:t>
      </w:r>
      <w:r w:rsidR="00AD6330">
        <w:t>.</w:t>
      </w:r>
      <w:r w:rsidR="00AD77BA">
        <w:t xml:space="preserve"> </w:t>
      </w:r>
      <w:r w:rsidR="0083034F">
        <w:t>Caratteri generali</w:t>
      </w:r>
      <w:r w:rsidR="00493CCF">
        <w:t xml:space="preserve"> del processo civile. L’onere della prova.</w:t>
      </w:r>
    </w:p>
    <w:p w14:paraId="16DD9D6E" w14:textId="05AB79D3" w:rsidR="00AD6330" w:rsidRDefault="00B84A1D" w:rsidP="000245B8">
      <w:pPr>
        <w:pStyle w:val="Paragrafoelenco"/>
        <w:numPr>
          <w:ilvl w:val="0"/>
          <w:numId w:val="2"/>
        </w:numPr>
        <w:spacing w:before="240" w:after="120" w:line="240" w:lineRule="exact"/>
      </w:pPr>
      <w:r>
        <w:t>Le vicende delle situazioni soggettive. Acquisto. Successione. Estinzione</w:t>
      </w:r>
      <w:r w:rsidR="00E55563">
        <w:t>. La rinunzia. La prescrizione</w:t>
      </w:r>
      <w:r w:rsidR="008A2CCB">
        <w:t>: fondamento e regole generali</w:t>
      </w:r>
      <w:r w:rsidR="00E55563">
        <w:t>.</w:t>
      </w:r>
      <w:r w:rsidR="008A2CCB">
        <w:t xml:space="preserve"> Decorrenza</w:t>
      </w:r>
      <w:r w:rsidR="00C50604">
        <w:t>,</w:t>
      </w:r>
      <w:r w:rsidR="008A2CCB">
        <w:t xml:space="preserve"> </w:t>
      </w:r>
      <w:r w:rsidR="00C50604">
        <w:t>s</w:t>
      </w:r>
      <w:r w:rsidR="00E55563">
        <w:t xml:space="preserve">ospensione e interruzione. </w:t>
      </w:r>
      <w:r w:rsidR="008A2CCB">
        <w:t>Prescrizioni presuntive. La decadenza.</w:t>
      </w:r>
    </w:p>
    <w:p w14:paraId="45BF8CDA" w14:textId="25532E3D" w:rsidR="00386A43" w:rsidRDefault="00386A43" w:rsidP="00386A43">
      <w:pPr>
        <w:pStyle w:val="Paragrafoelenco"/>
        <w:numPr>
          <w:ilvl w:val="0"/>
          <w:numId w:val="2"/>
        </w:numPr>
        <w:spacing w:before="240" w:after="120" w:line="240" w:lineRule="exact"/>
      </w:pPr>
      <w:r>
        <w:t xml:space="preserve">Il fatto, la fattispecie, gli effetti giuridici. L’atto negoziale. </w:t>
      </w:r>
      <w:r w:rsidR="008A2CCB">
        <w:t>Circolazione giuridica e tutela dell’affidamento. La pub</w:t>
      </w:r>
      <w:r>
        <w:t xml:space="preserve">blicità: tipologie. La trascrizione e i suoi effetti. </w:t>
      </w:r>
      <w:r w:rsidR="00C50604">
        <w:t>Regole operative</w:t>
      </w:r>
      <w:r>
        <w:t>. Atti soggetti a trascrizione. La trascrizione delle domande giudiziali.</w:t>
      </w:r>
      <w:r w:rsidR="00BE3DB5" w:rsidRPr="00694B96">
        <w:tab/>
      </w:r>
    </w:p>
    <w:p w14:paraId="1BB2D751" w14:textId="42779E06" w:rsidR="00BE3DB5" w:rsidRDefault="00386A43" w:rsidP="00386A43">
      <w:pPr>
        <w:pStyle w:val="Paragrafoelenco"/>
        <w:numPr>
          <w:ilvl w:val="0"/>
          <w:numId w:val="2"/>
        </w:numPr>
        <w:spacing w:before="240" w:after="120" w:line="240" w:lineRule="exact"/>
      </w:pPr>
      <w:r>
        <w:lastRenderedPageBreak/>
        <w:t xml:space="preserve">Soggetto e persona. </w:t>
      </w:r>
      <w:r w:rsidR="00E35136">
        <w:t>C</w:t>
      </w:r>
      <w:r>
        <w:t>apacità</w:t>
      </w:r>
      <w:r w:rsidR="00E35136">
        <w:t xml:space="preserve"> giuridica e capacità di agire</w:t>
      </w:r>
      <w:r>
        <w:t>. Gli istituti a tutela degli incapaci. L’amministrazione di sostegno</w:t>
      </w:r>
      <w:r w:rsidR="00E35136">
        <w:t xml:space="preserve">. L’incapacità di fatto. I luoghi della persona. I diritti della persona. </w:t>
      </w:r>
    </w:p>
    <w:p w14:paraId="3C465180" w14:textId="5D6AA4FA" w:rsidR="005B605D" w:rsidRDefault="00E35136" w:rsidP="00386A43">
      <w:pPr>
        <w:pStyle w:val="Paragrafoelenco"/>
        <w:numPr>
          <w:ilvl w:val="0"/>
          <w:numId w:val="2"/>
        </w:numPr>
        <w:spacing w:before="240" w:after="120" w:line="240" w:lineRule="exact"/>
      </w:pPr>
      <w:r>
        <w:t>I soggetti diversi dalla persona fisica. Soggettività e personalità giuridica. Il riconoscimento</w:t>
      </w:r>
      <w:r w:rsidR="005B605D">
        <w:t>.</w:t>
      </w:r>
      <w:r>
        <w:t xml:space="preserve"> Associazioni. Fondazioni. Comitati.</w:t>
      </w:r>
      <w:r w:rsidR="005B605D">
        <w:t xml:space="preserve"> Scopo non lucrativo e attività di impresa.</w:t>
      </w:r>
    </w:p>
    <w:p w14:paraId="36FB077B" w14:textId="665A4631" w:rsidR="00BE3DB5" w:rsidRDefault="00BE3DB5" w:rsidP="005B605D">
      <w:pPr>
        <w:pStyle w:val="Paragrafoelenco"/>
        <w:numPr>
          <w:ilvl w:val="0"/>
          <w:numId w:val="2"/>
        </w:numPr>
        <w:spacing w:line="240" w:lineRule="exact"/>
      </w:pPr>
      <w:r w:rsidRPr="00694B96">
        <w:t>La proprietà</w:t>
      </w:r>
      <w:r w:rsidR="00FC550F">
        <w:t xml:space="preserve">. Modi di acquisto e tutela. I </w:t>
      </w:r>
      <w:r w:rsidRPr="00694B96">
        <w:t xml:space="preserve">diritti </w:t>
      </w:r>
      <w:r w:rsidR="00FC550F">
        <w:t>di godimento su cosa altrui</w:t>
      </w:r>
      <w:r w:rsidRPr="00694B96">
        <w:t xml:space="preserve">. </w:t>
      </w:r>
      <w:r w:rsidR="00FC550F">
        <w:t>C</w:t>
      </w:r>
      <w:r w:rsidRPr="00694B96">
        <w:t>omunione</w:t>
      </w:r>
      <w:r w:rsidR="00FC550F">
        <w:t xml:space="preserve">, </w:t>
      </w:r>
      <w:r w:rsidRPr="00694B96">
        <w:t>condominio</w:t>
      </w:r>
      <w:r w:rsidR="00FC550F">
        <w:t xml:space="preserve"> e multiproprietà</w:t>
      </w:r>
      <w:r w:rsidRPr="00694B96">
        <w:t xml:space="preserve">. </w:t>
      </w:r>
      <w:r w:rsidR="00AB633F">
        <w:t xml:space="preserve">Le situazioni </w:t>
      </w:r>
      <w:r w:rsidRPr="00694B96">
        <w:t>possesso</w:t>
      </w:r>
      <w:r w:rsidR="00AB633F">
        <w:t>rie</w:t>
      </w:r>
      <w:r w:rsidRPr="00694B96">
        <w:t>.</w:t>
      </w:r>
      <w:r w:rsidR="00AB633F">
        <w:t xml:space="preserve"> Azioni possessorie e azioni di nunciazione. L’usucapione.</w:t>
      </w:r>
    </w:p>
    <w:p w14:paraId="31A5B655" w14:textId="778772A6" w:rsidR="00AB633F" w:rsidRDefault="00AB633F" w:rsidP="005B605D">
      <w:pPr>
        <w:pStyle w:val="Paragrafoelenco"/>
        <w:numPr>
          <w:ilvl w:val="0"/>
          <w:numId w:val="2"/>
        </w:numPr>
        <w:spacing w:line="240" w:lineRule="exact"/>
      </w:pPr>
      <w:r>
        <w:t>Il rapporto obbligatorio. Adempimento e inadempimento. Modificazioni soggettive</w:t>
      </w:r>
      <w:r w:rsidR="00C50604">
        <w:t>. Modalità estintive. Categorie particolari di obbligazioni.</w:t>
      </w:r>
    </w:p>
    <w:p w14:paraId="52542B2A" w14:textId="75264951" w:rsidR="00C50604" w:rsidRDefault="00C50604" w:rsidP="005B605D">
      <w:pPr>
        <w:pStyle w:val="Paragrafoelenco"/>
        <w:numPr>
          <w:ilvl w:val="0"/>
          <w:numId w:val="2"/>
        </w:numPr>
        <w:spacing w:line="240" w:lineRule="exact"/>
      </w:pPr>
      <w:r>
        <w:t>La garanzia generica del credito. La conservazione della garanzia patrimoniale. Privilegi, pegno, ipoteca</w:t>
      </w:r>
      <w:r w:rsidR="00113F63">
        <w:t>. Patto commissorio e patti marciani.</w:t>
      </w:r>
      <w:r w:rsidR="0083034F">
        <w:t xml:space="preserve"> Le garanzie personali.</w:t>
      </w:r>
    </w:p>
    <w:p w14:paraId="36FEA3E5" w14:textId="32303DC0" w:rsidR="00113F63" w:rsidRDefault="00C50604" w:rsidP="00113F63">
      <w:pPr>
        <w:pStyle w:val="Paragrafoelenco"/>
        <w:numPr>
          <w:ilvl w:val="0"/>
          <w:numId w:val="2"/>
        </w:numPr>
        <w:spacing w:line="240" w:lineRule="exact"/>
      </w:pPr>
      <w:r>
        <w:t>La disciplina generale del contratto.</w:t>
      </w:r>
      <w:r w:rsidR="00883E7E">
        <w:t xml:space="preserve"> L’autonomia privata.</w:t>
      </w:r>
      <w:r>
        <w:t xml:space="preserve"> Formazione. Elementi strutturali. Impugnative. Il rapporto contrattuale. I rimedi</w:t>
      </w:r>
      <w:r w:rsidR="00113F63">
        <w:t>.</w:t>
      </w:r>
    </w:p>
    <w:p w14:paraId="7D978C22" w14:textId="1971B513" w:rsidR="00883E7E" w:rsidRDefault="00883E7E" w:rsidP="00113F63">
      <w:pPr>
        <w:pStyle w:val="Paragrafoelenco"/>
        <w:numPr>
          <w:ilvl w:val="0"/>
          <w:numId w:val="2"/>
        </w:numPr>
        <w:spacing w:line="240" w:lineRule="exact"/>
      </w:pPr>
      <w:r>
        <w:t xml:space="preserve">Problemi particolari del contratto: il contratto preliminare; la rappresentanza; i negozi gratuiti e le liberalità; fiducia, simulazione, </w:t>
      </w:r>
      <w:r>
        <w:rPr>
          <w:i/>
          <w:iCs/>
        </w:rPr>
        <w:t>trust</w:t>
      </w:r>
      <w:r w:rsidR="000A3834">
        <w:t>; il rapporto di consumo.</w:t>
      </w:r>
    </w:p>
    <w:p w14:paraId="50EDCBD1" w14:textId="3A3C6A4D" w:rsidR="00883E7E" w:rsidRDefault="00113F63" w:rsidP="00D932D8">
      <w:pPr>
        <w:pStyle w:val="Paragrafoelenco"/>
        <w:numPr>
          <w:ilvl w:val="0"/>
          <w:numId w:val="2"/>
        </w:numPr>
        <w:spacing w:line="240" w:lineRule="exact"/>
      </w:pPr>
      <w:r>
        <w:t>La compravendita</w:t>
      </w:r>
      <w:r w:rsidR="00BE3DB5" w:rsidRPr="00694B96">
        <w:t xml:space="preserve">. </w:t>
      </w:r>
      <w:r>
        <w:t>Gli altri</w:t>
      </w:r>
      <w:r w:rsidR="00BE3DB5" w:rsidRPr="00694B96">
        <w:t xml:space="preserve"> contratti tipici e atipici.</w:t>
      </w:r>
      <w:r>
        <w:t xml:space="preserve"> </w:t>
      </w:r>
    </w:p>
    <w:p w14:paraId="36F4D8A9" w14:textId="715CCB2B" w:rsidR="00883E7E" w:rsidRDefault="00883E7E" w:rsidP="00D932D8">
      <w:pPr>
        <w:pStyle w:val="Paragrafoelenco"/>
        <w:numPr>
          <w:ilvl w:val="0"/>
          <w:numId w:val="2"/>
        </w:numPr>
        <w:spacing w:line="240" w:lineRule="exact"/>
      </w:pPr>
      <w:r>
        <w:t>L</w:t>
      </w:r>
      <w:r w:rsidR="00BE3DB5" w:rsidRPr="00694B96">
        <w:t>a responsabilità per fatto illecito.</w:t>
      </w:r>
      <w:r>
        <w:t xml:space="preserve"> Le altre fonti di obbligazioni.</w:t>
      </w:r>
    </w:p>
    <w:p w14:paraId="1260D0EB" w14:textId="5B052606" w:rsidR="00BE3DB5" w:rsidRDefault="00883E7E" w:rsidP="00D932D8">
      <w:pPr>
        <w:pStyle w:val="Paragrafoelenco"/>
        <w:numPr>
          <w:ilvl w:val="0"/>
          <w:numId w:val="2"/>
        </w:numPr>
        <w:spacing w:line="240" w:lineRule="exact"/>
      </w:pPr>
      <w:r>
        <w:t>Il matrimonio</w:t>
      </w:r>
      <w:r w:rsidR="001D50F9">
        <w:t>: disciplina dell’atto; profili patrimoniali; separazione e scioglimento. L</w:t>
      </w:r>
      <w:r>
        <w:t xml:space="preserve">e forme giuridiche di convivenza </w:t>
      </w:r>
      <w:r w:rsidR="00146B3A">
        <w:t>diverse dal matrimonio</w:t>
      </w:r>
      <w:r>
        <w:t xml:space="preserve">. </w:t>
      </w:r>
      <w:r w:rsidR="001D50F9">
        <w:t>La filiazione.</w:t>
      </w:r>
    </w:p>
    <w:p w14:paraId="273B844A" w14:textId="23E438EF" w:rsidR="00BE3DB5" w:rsidRPr="00694B96" w:rsidRDefault="001D50F9" w:rsidP="00D932D8">
      <w:pPr>
        <w:pStyle w:val="Paragrafoelenco"/>
        <w:numPr>
          <w:ilvl w:val="0"/>
          <w:numId w:val="2"/>
        </w:numPr>
        <w:spacing w:line="240" w:lineRule="exact"/>
      </w:pPr>
      <w:r>
        <w:t xml:space="preserve">I profili generali della successione per causa di morte. Successione dei legittimi e successione dei legittimari. Testamento e legato. Divisione ereditaria e collazione. </w:t>
      </w:r>
    </w:p>
    <w:p w14:paraId="38C9547A" w14:textId="166372DF" w:rsidR="00BE3DB5" w:rsidRDefault="00BE3DB5" w:rsidP="00D932D8">
      <w:pPr>
        <w:keepNext/>
        <w:spacing w:before="240" w:after="120" w:line="240" w:lineRule="exact"/>
        <w:rPr>
          <w:rFonts w:eastAsiaTheme="minorHAnsi"/>
          <w:b/>
          <w:sz w:val="18"/>
          <w:lang w:eastAsia="en-US"/>
        </w:rPr>
      </w:pPr>
      <w:r>
        <w:rPr>
          <w:rFonts w:eastAsiaTheme="minorHAnsi"/>
          <w:b/>
          <w:i/>
          <w:sz w:val="18"/>
          <w:lang w:eastAsia="en-US"/>
        </w:rPr>
        <w:t>BIBLIOGRAFIA</w:t>
      </w:r>
      <w:r w:rsidR="005F2BC9">
        <w:rPr>
          <w:rStyle w:val="Rimandonotaapidipagina"/>
          <w:rFonts w:eastAsiaTheme="minorHAnsi"/>
          <w:b/>
          <w:i/>
          <w:sz w:val="18"/>
          <w:lang w:eastAsia="en-US"/>
        </w:rPr>
        <w:footnoteReference w:id="1"/>
      </w:r>
    </w:p>
    <w:p w14:paraId="791AE959" w14:textId="34FC9994" w:rsidR="00BE3DB5" w:rsidRDefault="00BE3DB5" w:rsidP="00BC304A">
      <w:pPr>
        <w:pStyle w:val="Testo1"/>
        <w:ind w:firstLine="0"/>
      </w:pPr>
      <w:r w:rsidRPr="00196D23">
        <w:t>Testo consigliato</w:t>
      </w:r>
      <w:r w:rsidR="00BC304A">
        <w:t xml:space="preserve">: </w:t>
      </w:r>
      <w:r w:rsidRPr="006A33EC">
        <w:t>Torrente-Schlesinger</w:t>
      </w:r>
      <w:r w:rsidR="00146B3A">
        <w:t>-Anelli</w:t>
      </w:r>
      <w:r w:rsidRPr="006A33EC">
        <w:t xml:space="preserve">, </w:t>
      </w:r>
      <w:r w:rsidRPr="00E90363">
        <w:rPr>
          <w:i/>
          <w:iCs/>
        </w:rPr>
        <w:t>Manuale di diritto privato</w:t>
      </w:r>
      <w:r w:rsidRPr="006A33EC">
        <w:t>, 2</w:t>
      </w:r>
      <w:r w:rsidR="00146B3A">
        <w:t>7</w:t>
      </w:r>
      <w:r w:rsidRPr="006A33EC">
        <w:t xml:space="preserve">a edizione, a cura di C. Granelli, </w:t>
      </w:r>
      <w:r w:rsidR="00C40140" w:rsidRPr="006A33EC">
        <w:t>Giuffrè, Milano, 202</w:t>
      </w:r>
      <w:r w:rsidR="00146B3A">
        <w:t>5</w:t>
      </w:r>
      <w:r w:rsidRPr="006A33EC">
        <w:t xml:space="preserve"> (con esclusione dei capitoli da LVI a LXIV).</w:t>
      </w:r>
      <w:r w:rsidR="005F2BC9">
        <w:t xml:space="preserve"> </w:t>
      </w:r>
      <w:bookmarkStart w:id="0" w:name="_Hlk170391661"/>
      <w:r w:rsidR="005F2BC9">
        <w:rPr>
          <w:rFonts w:ascii="Times New Roman" w:hAnsi="Times New Roman"/>
          <w:i/>
          <w:color w:val="0070C0"/>
          <w:szCs w:val="18"/>
        </w:rPr>
        <w:fldChar w:fldCharType="begin"/>
      </w:r>
      <w:r w:rsidR="005F2BC9">
        <w:rPr>
          <w:rFonts w:ascii="Times New Roman" w:hAnsi="Times New Roman"/>
          <w:i/>
          <w:color w:val="0070C0"/>
          <w:szCs w:val="18"/>
        </w:rPr>
        <w:instrText>HYPERLINK "https://librerie.unicatt.it/scheda-libro/andrea-torrente-piero-schlesinger/manuale-di-diritto-privato-9788828869269-3945779.html"</w:instrText>
      </w:r>
      <w:r w:rsidR="005F2BC9">
        <w:rPr>
          <w:rFonts w:ascii="Times New Roman" w:hAnsi="Times New Roman"/>
          <w:i/>
          <w:color w:val="0070C0"/>
          <w:szCs w:val="18"/>
        </w:rPr>
      </w:r>
      <w:r w:rsidR="005F2BC9">
        <w:rPr>
          <w:rFonts w:ascii="Times New Roman" w:hAnsi="Times New Roman"/>
          <w:i/>
          <w:color w:val="0070C0"/>
          <w:szCs w:val="18"/>
        </w:rPr>
        <w:fldChar w:fldCharType="separate"/>
      </w:r>
      <w:r w:rsidR="005F2BC9" w:rsidRPr="005F2BC9">
        <w:rPr>
          <w:rStyle w:val="Collegamentoipertestuale"/>
          <w:rFonts w:ascii="Times New Roman" w:hAnsi="Times New Roman"/>
          <w:i/>
          <w:szCs w:val="18"/>
        </w:rPr>
        <w:t>Acquista da VP</w:t>
      </w:r>
      <w:bookmarkEnd w:id="0"/>
      <w:r w:rsidR="005F2BC9">
        <w:rPr>
          <w:rFonts w:ascii="Times New Roman" w:hAnsi="Times New Roman"/>
          <w:i/>
          <w:color w:val="0070C0"/>
          <w:szCs w:val="18"/>
        </w:rPr>
        <w:fldChar w:fldCharType="end"/>
      </w:r>
    </w:p>
    <w:p w14:paraId="25F48579" w14:textId="6E536428" w:rsidR="005A5644" w:rsidRDefault="005A5644" w:rsidP="00BC304A">
      <w:pPr>
        <w:pStyle w:val="Testo1"/>
        <w:ind w:firstLine="0"/>
      </w:pPr>
      <w:r>
        <w:t xml:space="preserve">Sarà pubblicato sulla piattaforma del corso un syllabus dettagliato delle lezioni e </w:t>
      </w:r>
      <w:r w:rsidR="00753612">
        <w:t>delle</w:t>
      </w:r>
      <w:r>
        <w:t xml:space="preserve"> parti del manuale che saranno da omettere o da studiare nelle linee essenziali.</w:t>
      </w:r>
    </w:p>
    <w:p w14:paraId="72DED086" w14:textId="7BB88FF6" w:rsidR="005A5644" w:rsidRDefault="00446497" w:rsidP="00BC304A">
      <w:pPr>
        <w:pStyle w:val="Testo1"/>
        <w:ind w:firstLine="0"/>
      </w:pPr>
      <w:r>
        <w:t>Per la</w:t>
      </w:r>
      <w:r w:rsidR="005A5644" w:rsidRPr="005A5644">
        <w:t xml:space="preserve"> consultazione del Codice civile e delle leggi speciali</w:t>
      </w:r>
      <w:r>
        <w:t>, si raccomanda una edizione che sia aggiornata (ad esempio quella edita da</w:t>
      </w:r>
      <w:r w:rsidR="005A5644" w:rsidRPr="005A5644">
        <w:t xml:space="preserve"> Lefebvre Giuffrè, a cura di A. Di Majo</w:t>
      </w:r>
      <w:r w:rsidR="005F2BC9">
        <w:t xml:space="preserve"> </w:t>
      </w:r>
      <w:hyperlink r:id="rId8" w:history="1">
        <w:r w:rsidR="005F2BC9" w:rsidRPr="005F2BC9">
          <w:rPr>
            <w:rStyle w:val="Collegamentoipertestuale"/>
            <w:rFonts w:ascii="Times New Roman" w:hAnsi="Times New Roman"/>
            <w:i/>
            <w:szCs w:val="18"/>
          </w:rPr>
          <w:t>Acquista da VP</w:t>
        </w:r>
      </w:hyperlink>
      <w:r w:rsidR="005A5644" w:rsidRPr="005A5644">
        <w:t>, oppure</w:t>
      </w:r>
      <w:r>
        <w:t xml:space="preserve"> l’edizione della</w:t>
      </w:r>
      <w:r w:rsidR="005A5644" w:rsidRPr="005A5644">
        <w:t xml:space="preserve"> Zanichelli, a cura di G. De Nova</w:t>
      </w:r>
      <w:r w:rsidR="005F2BC9">
        <w:t xml:space="preserve"> </w:t>
      </w:r>
      <w:hyperlink r:id="rId9" w:history="1">
        <w:r w:rsidR="005F2BC9" w:rsidRPr="005F2BC9">
          <w:rPr>
            <w:rStyle w:val="Collegamentoipertestuale"/>
            <w:rFonts w:ascii="Times New Roman" w:hAnsi="Times New Roman"/>
            <w:i/>
            <w:szCs w:val="18"/>
          </w:rPr>
          <w:t>Acquista da VP</w:t>
        </w:r>
      </w:hyperlink>
      <w:r>
        <w:t>)</w:t>
      </w:r>
      <w:r w:rsidR="005A5644" w:rsidRPr="005A5644">
        <w:t>.</w:t>
      </w:r>
    </w:p>
    <w:p w14:paraId="134802AE" w14:textId="77777777" w:rsidR="006A33EC" w:rsidRDefault="00BE3DB5" w:rsidP="006A33EC">
      <w:pPr>
        <w:spacing w:before="240" w:after="120" w:line="240" w:lineRule="exact"/>
        <w:rPr>
          <w:rFonts w:eastAsiaTheme="minorHAnsi"/>
          <w:b/>
          <w:i/>
          <w:sz w:val="18"/>
          <w:lang w:eastAsia="en-US"/>
        </w:rPr>
      </w:pPr>
      <w:r>
        <w:rPr>
          <w:rFonts w:eastAsiaTheme="minorHAnsi"/>
          <w:b/>
          <w:i/>
          <w:sz w:val="18"/>
          <w:lang w:eastAsia="en-US"/>
        </w:rPr>
        <w:lastRenderedPageBreak/>
        <w:t>DIDATTICA DEL CORSO</w:t>
      </w:r>
    </w:p>
    <w:p w14:paraId="2765EAE6" w14:textId="22517536" w:rsidR="00BE3DB5" w:rsidRPr="006A33EC" w:rsidRDefault="00BE3DB5" w:rsidP="006F07D8">
      <w:pPr>
        <w:pStyle w:val="Testo2"/>
        <w:rPr>
          <w:rFonts w:eastAsiaTheme="minorHAnsi"/>
          <w:b/>
          <w:i/>
          <w:lang w:eastAsia="en-US"/>
        </w:rPr>
      </w:pPr>
      <w:r>
        <w:t>Le attività didattiche consistono in lezioni frontali</w:t>
      </w:r>
      <w:r w:rsidR="00BC304A">
        <w:t xml:space="preserve"> tenute in aula dal docente, suddivise come segue: 60 ore nel primo semestre e 45 ore nel secondo semestre</w:t>
      </w:r>
      <w:r w:rsidR="005A5644">
        <w:t>. Man mano che si prosegue nell</w:t>
      </w:r>
      <w:r w:rsidR="00446497">
        <w:t>o</w:t>
      </w:r>
      <w:r w:rsidR="005A5644">
        <w:t xml:space="preserve"> sviluppo del programma saranno pubblicati sulla piattaforma del corso </w:t>
      </w:r>
      <w:r w:rsidR="00446497">
        <w:t xml:space="preserve">quesiti e </w:t>
      </w:r>
      <w:r w:rsidR="005A5644">
        <w:t>casi relativame</w:t>
      </w:r>
      <w:r w:rsidR="00446497">
        <w:t xml:space="preserve">nte semplici, dei quali periodicamente si fornirà la corretta soluzione. </w:t>
      </w:r>
    </w:p>
    <w:p w14:paraId="0BF15485" w14:textId="338CFC7F" w:rsidR="00BE3DB5" w:rsidRPr="00BE3DB5" w:rsidRDefault="00BE3DB5" w:rsidP="00D932D8">
      <w:pPr>
        <w:spacing w:before="240" w:after="120" w:line="240" w:lineRule="exact"/>
        <w:rPr>
          <w:rFonts w:eastAsiaTheme="minorHAnsi"/>
          <w:b/>
          <w:i/>
          <w:sz w:val="18"/>
          <w:lang w:eastAsia="en-US"/>
        </w:rPr>
      </w:pPr>
      <w:r w:rsidRPr="00BE3DB5">
        <w:rPr>
          <w:rFonts w:eastAsiaTheme="minorHAnsi"/>
          <w:b/>
          <w:i/>
          <w:sz w:val="18"/>
          <w:lang w:eastAsia="en-US"/>
        </w:rPr>
        <w:t>METODO E CRITERI DI VALUTAZIONE</w:t>
      </w:r>
    </w:p>
    <w:p w14:paraId="4444396C" w14:textId="1A697FA0" w:rsidR="00BE3DB5" w:rsidRPr="006F07D8" w:rsidRDefault="00F71FBB" w:rsidP="006F07D8">
      <w:pPr>
        <w:pStyle w:val="Testo2"/>
      </w:pPr>
      <w:r>
        <w:t>L’e</w:t>
      </w:r>
      <w:r w:rsidR="00BE3DB5" w:rsidRPr="006F07D8">
        <w:t>same</w:t>
      </w:r>
      <w:r>
        <w:t xml:space="preserve"> è</w:t>
      </w:r>
      <w:r w:rsidR="00BE3DB5" w:rsidRPr="006F07D8">
        <w:t xml:space="preserve"> orale.</w:t>
      </w:r>
      <w:r>
        <w:t xml:space="preserve"> Dopo le lezioni del primo semestre,</w:t>
      </w:r>
      <w:r w:rsidR="00433704">
        <w:t xml:space="preserve"> e precisamente nella sessione di gennaio,</w:t>
      </w:r>
      <w:r>
        <w:t xml:space="preserve"> lo studente potrà sostenere un primo esame sulle parti di programma</w:t>
      </w:r>
      <w:r w:rsidR="00433704">
        <w:t xml:space="preserve"> </w:t>
      </w:r>
      <w:r>
        <w:t xml:space="preserve">che saranno precisate dal docente con apposito avviso. In tal caso l’esame conclusivo verte esclusivamente sugli argomenti della seconda parte del corso. </w:t>
      </w:r>
      <w:r w:rsidR="00946203">
        <w:t>Lo studente ha sempre la facoltà,</w:t>
      </w:r>
      <w:r w:rsidR="00433704">
        <w:t xml:space="preserve"> anche nelle sessioni di esame successive alla prima</w:t>
      </w:r>
      <w:r w:rsidR="00946203">
        <w:t>,</w:t>
      </w:r>
      <w:r w:rsidR="00433704">
        <w:t xml:space="preserve"> di sostenere </w:t>
      </w:r>
      <w:r w:rsidR="00946203">
        <w:t xml:space="preserve">un unico esame o </w:t>
      </w:r>
      <w:r w:rsidR="00433704">
        <w:t>due esami parziali</w:t>
      </w:r>
      <w:r w:rsidR="00946203">
        <w:t>. In quest’ultimo caso</w:t>
      </w:r>
      <w:r w:rsidR="00433704">
        <w:t xml:space="preserve"> il risultato conseguito</w:t>
      </w:r>
      <w:r w:rsidR="00946203">
        <w:t xml:space="preserve"> nel primo parziale</w:t>
      </w:r>
      <w:r w:rsidR="00433704">
        <w:t xml:space="preserve"> </w:t>
      </w:r>
      <w:r w:rsidR="00946203">
        <w:t>rimane valido per 8 mesi.</w:t>
      </w:r>
      <w:r w:rsidR="009B167A">
        <w:t xml:space="preserve"> E’ facoltà dello studente avvalersi o meno del risultato conseguito nel primo esame parziale.  </w:t>
      </w:r>
    </w:p>
    <w:p w14:paraId="085BCC8A" w14:textId="1AB32DFD" w:rsidR="00BE3DB5" w:rsidRPr="006F07D8" w:rsidRDefault="00BE3DB5" w:rsidP="006F07D8">
      <w:pPr>
        <w:pStyle w:val="Testo2"/>
      </w:pPr>
      <w:r w:rsidRPr="006F07D8">
        <w:t xml:space="preserve">Il colloquio è volto ad accertare la conoscenza degli argomenti oggetto di studio e la </w:t>
      </w:r>
      <w:r w:rsidR="003E15AF">
        <w:t xml:space="preserve">capacità di fornire soluzioni a casi semplici. </w:t>
      </w:r>
      <w:r w:rsidRPr="006F07D8">
        <w:t>Il processo di valutazione mira a verificare il grado di conoscenza degli istituti, la padronanza delle categorie del diritto privato e la capacità di esemplificazione e rielaborazione dei contenuti acquisiti.</w:t>
      </w:r>
    </w:p>
    <w:p w14:paraId="44C2779D" w14:textId="77777777" w:rsidR="00BE3DB5" w:rsidRPr="006F07D8" w:rsidRDefault="00BE3DB5" w:rsidP="006F07D8">
      <w:pPr>
        <w:pStyle w:val="Testo2"/>
      </w:pPr>
      <w:r w:rsidRPr="006F07D8">
        <w:t>Ai fini della valutazione finale concorreranno la pertinenza delle risposte, l’uso appropriato di terminologia specifica, la strutturazione argomentata e coerente del discorso e la capacità di individuare nessi concettuali.</w:t>
      </w:r>
    </w:p>
    <w:p w14:paraId="7373A5B0" w14:textId="77777777" w:rsidR="00BE3DB5" w:rsidRDefault="00BE3DB5" w:rsidP="00D932D8">
      <w:pPr>
        <w:spacing w:before="240" w:after="120" w:line="240" w:lineRule="exact"/>
        <w:rPr>
          <w:rFonts w:eastAsiaTheme="minorHAnsi"/>
          <w:b/>
          <w:i/>
          <w:sz w:val="18"/>
          <w:lang w:eastAsia="en-US"/>
        </w:rPr>
      </w:pPr>
      <w:r>
        <w:rPr>
          <w:rFonts w:eastAsiaTheme="minorHAnsi"/>
          <w:b/>
          <w:i/>
          <w:sz w:val="18"/>
          <w:lang w:eastAsia="en-US"/>
        </w:rPr>
        <w:t>AVVERTENZE E PREREQUISITI</w:t>
      </w:r>
    </w:p>
    <w:p w14:paraId="36A8411B" w14:textId="6872AFB3" w:rsidR="00BE3DB5" w:rsidRDefault="00BE3DB5" w:rsidP="006F07D8">
      <w:pPr>
        <w:pStyle w:val="Testo2"/>
      </w:pPr>
      <w:r w:rsidRPr="00196D23">
        <w:t>Relativamente ai contenuti trattati, l’insegnamento non necessita di prerequisiti.</w:t>
      </w:r>
      <w:r w:rsidR="00446497">
        <w:t xml:space="preserve"> La frequenza del corso è vivamente raccomandata, sia </w:t>
      </w:r>
      <w:r w:rsidR="0083034F">
        <w:t xml:space="preserve">per un efficace apprendimento del linguaggio giuridico, sia perché è favorita dal docente, in quanto ritenuta proficua ai fini didattici, la partecipazione attiva degli studenti alle lezioni. </w:t>
      </w:r>
    </w:p>
    <w:p w14:paraId="0EA291CD" w14:textId="0BBB2165" w:rsidR="003E54A9" w:rsidRPr="006F07D8" w:rsidRDefault="006F07D8" w:rsidP="006F07D8">
      <w:pPr>
        <w:pStyle w:val="Testo2"/>
        <w:spacing w:before="120"/>
        <w:rPr>
          <w:rFonts w:eastAsiaTheme="minorHAnsi"/>
          <w:bCs/>
          <w:i/>
          <w:lang w:eastAsia="en-US"/>
        </w:rPr>
      </w:pPr>
      <w:r>
        <w:rPr>
          <w:rFonts w:eastAsiaTheme="minorHAnsi"/>
          <w:bCs/>
          <w:i/>
          <w:lang w:eastAsia="en-US"/>
        </w:rPr>
        <w:t>O</w:t>
      </w:r>
      <w:r w:rsidRPr="006F07D8">
        <w:rPr>
          <w:rFonts w:eastAsiaTheme="minorHAnsi"/>
          <w:bCs/>
          <w:i/>
          <w:lang w:eastAsia="en-US"/>
        </w:rPr>
        <w:t xml:space="preserve">rario e luogo di ricevimento </w:t>
      </w:r>
    </w:p>
    <w:p w14:paraId="2FCA7121" w14:textId="5D166405" w:rsidR="00C6478F" w:rsidRPr="00071D4A" w:rsidRDefault="00F26165" w:rsidP="006F07D8">
      <w:pPr>
        <w:pStyle w:val="Testo2"/>
      </w:pPr>
      <w:r>
        <w:t xml:space="preserve">Il Prof. Schiavone riceverà gli studenti, oltre che al termine delle lezioni, presso il proprio ufficio (quarto piano dell’Edificio Gregorianum) nei giorni che saranno precisati con apposito avviso. </w:t>
      </w:r>
      <w:r w:rsidR="00E42F48">
        <w:t>In alternativa g</w:t>
      </w:r>
      <w:r>
        <w:t>li studenti potranno</w:t>
      </w:r>
      <w:r w:rsidR="00E42F48">
        <w:t xml:space="preserve"> </w:t>
      </w:r>
      <w:r>
        <w:t>chiedere al docente un appuntamento telematico.</w:t>
      </w:r>
    </w:p>
    <w:sectPr w:rsidR="00C6478F" w:rsidRPr="00071D4A" w:rsidSect="00C55B6A">
      <w:pgSz w:w="11906" w:h="16838" w:code="9"/>
      <w:pgMar w:top="3515" w:right="2608" w:bottom="3515" w:left="2608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8CAA93" w14:textId="77777777" w:rsidR="003E0E30" w:rsidRDefault="003E0E30" w:rsidP="005F2BC9">
      <w:pPr>
        <w:spacing w:line="240" w:lineRule="auto"/>
      </w:pPr>
      <w:r>
        <w:separator/>
      </w:r>
    </w:p>
  </w:endnote>
  <w:endnote w:type="continuationSeparator" w:id="0">
    <w:p w14:paraId="24F7FB33" w14:textId="77777777" w:rsidR="003E0E30" w:rsidRDefault="003E0E30" w:rsidP="005F2BC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38D798" w14:textId="77777777" w:rsidR="003E0E30" w:rsidRDefault="003E0E30" w:rsidP="005F2BC9">
      <w:pPr>
        <w:spacing w:line="240" w:lineRule="auto"/>
      </w:pPr>
      <w:r>
        <w:separator/>
      </w:r>
    </w:p>
  </w:footnote>
  <w:footnote w:type="continuationSeparator" w:id="0">
    <w:p w14:paraId="7514083E" w14:textId="77777777" w:rsidR="003E0E30" w:rsidRDefault="003E0E30" w:rsidP="005F2BC9">
      <w:pPr>
        <w:spacing w:line="240" w:lineRule="auto"/>
      </w:pPr>
      <w:r>
        <w:continuationSeparator/>
      </w:r>
    </w:p>
  </w:footnote>
  <w:footnote w:id="1">
    <w:p w14:paraId="003A9B60" w14:textId="6BA3EFE7" w:rsidR="005F2BC9" w:rsidRDefault="005F2BC9">
      <w:pPr>
        <w:pStyle w:val="Testonotaapidipagina"/>
      </w:pPr>
      <w:r>
        <w:rPr>
          <w:rStyle w:val="Rimandonotaapidipagina"/>
        </w:rPr>
        <w:footnoteRef/>
      </w:r>
      <w:r>
        <w:t xml:space="preserve"> </w:t>
      </w:r>
      <w:r w:rsidRPr="001D7759">
        <w:rPr>
          <w:sz w:val="16"/>
          <w:szCs w:val="16"/>
        </w:rPr>
        <w:t xml:space="preserve">I testi indicati nella bibliografia sono acquistabili presso le librerie di Ateneo; è possibile acquistarli </w:t>
      </w:r>
      <w:r>
        <w:rPr>
          <w:sz w:val="16"/>
          <w:szCs w:val="16"/>
        </w:rPr>
        <w:t>anche presso altri rivenditori.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4427E22"/>
    <w:multiLevelType w:val="hybridMultilevel"/>
    <w:tmpl w:val="22300AD4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E7475EA"/>
    <w:multiLevelType w:val="hybridMultilevel"/>
    <w:tmpl w:val="50843828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21706648">
    <w:abstractNumId w:val="0"/>
  </w:num>
  <w:num w:numId="2" w16cid:durableId="51388237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rawingGridHorizontalSpacing w:val="100"/>
  <w:drawingGridVerticalSpacing w:val="136"/>
  <w:displayHorizontalDrawingGridEvery w:val="0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B5DDB"/>
    <w:rsid w:val="000245B8"/>
    <w:rsid w:val="00063F99"/>
    <w:rsid w:val="00071D4A"/>
    <w:rsid w:val="000A3834"/>
    <w:rsid w:val="000F2BDB"/>
    <w:rsid w:val="00113F63"/>
    <w:rsid w:val="00146B3A"/>
    <w:rsid w:val="00153753"/>
    <w:rsid w:val="00154BB7"/>
    <w:rsid w:val="00173701"/>
    <w:rsid w:val="00180AA5"/>
    <w:rsid w:val="00187B99"/>
    <w:rsid w:val="001D3FDC"/>
    <w:rsid w:val="001D50F9"/>
    <w:rsid w:val="001E1BD8"/>
    <w:rsid w:val="001F553A"/>
    <w:rsid w:val="002014DD"/>
    <w:rsid w:val="002477E3"/>
    <w:rsid w:val="00252DFF"/>
    <w:rsid w:val="00281955"/>
    <w:rsid w:val="002D4C2A"/>
    <w:rsid w:val="002D5E17"/>
    <w:rsid w:val="002D633F"/>
    <w:rsid w:val="00321294"/>
    <w:rsid w:val="00324AA3"/>
    <w:rsid w:val="003817DB"/>
    <w:rsid w:val="00386A43"/>
    <w:rsid w:val="003A7504"/>
    <w:rsid w:val="003E0E30"/>
    <w:rsid w:val="003E15AF"/>
    <w:rsid w:val="003E54A9"/>
    <w:rsid w:val="00433704"/>
    <w:rsid w:val="00446497"/>
    <w:rsid w:val="00493CCF"/>
    <w:rsid w:val="004D1217"/>
    <w:rsid w:val="004D6008"/>
    <w:rsid w:val="004E3514"/>
    <w:rsid w:val="004E5BB1"/>
    <w:rsid w:val="005155A1"/>
    <w:rsid w:val="005312E2"/>
    <w:rsid w:val="00542920"/>
    <w:rsid w:val="0055358A"/>
    <w:rsid w:val="00596C4C"/>
    <w:rsid w:val="005A5644"/>
    <w:rsid w:val="005B442B"/>
    <w:rsid w:val="005B605D"/>
    <w:rsid w:val="005E2D4E"/>
    <w:rsid w:val="005F2BC9"/>
    <w:rsid w:val="006027A2"/>
    <w:rsid w:val="00620011"/>
    <w:rsid w:val="00640794"/>
    <w:rsid w:val="006A33EC"/>
    <w:rsid w:val="006B25F6"/>
    <w:rsid w:val="006E195D"/>
    <w:rsid w:val="006F07D8"/>
    <w:rsid w:val="006F1772"/>
    <w:rsid w:val="0071019C"/>
    <w:rsid w:val="007154D4"/>
    <w:rsid w:val="00721D9C"/>
    <w:rsid w:val="00744BBF"/>
    <w:rsid w:val="00753612"/>
    <w:rsid w:val="0076448C"/>
    <w:rsid w:val="007B5DDB"/>
    <w:rsid w:val="0083034F"/>
    <w:rsid w:val="00863E50"/>
    <w:rsid w:val="00883E7E"/>
    <w:rsid w:val="008942E7"/>
    <w:rsid w:val="008A1204"/>
    <w:rsid w:val="008A2CCB"/>
    <w:rsid w:val="00900CCA"/>
    <w:rsid w:val="00924B77"/>
    <w:rsid w:val="009344D9"/>
    <w:rsid w:val="00940DA2"/>
    <w:rsid w:val="00946203"/>
    <w:rsid w:val="009946C9"/>
    <w:rsid w:val="009B167A"/>
    <w:rsid w:val="009C0E96"/>
    <w:rsid w:val="009C458A"/>
    <w:rsid w:val="009C60BB"/>
    <w:rsid w:val="009E055C"/>
    <w:rsid w:val="00A066E1"/>
    <w:rsid w:val="00A74F6F"/>
    <w:rsid w:val="00AB1282"/>
    <w:rsid w:val="00AB1C59"/>
    <w:rsid w:val="00AB633F"/>
    <w:rsid w:val="00AD6330"/>
    <w:rsid w:val="00AD7557"/>
    <w:rsid w:val="00AD77BA"/>
    <w:rsid w:val="00B50C5D"/>
    <w:rsid w:val="00B51253"/>
    <w:rsid w:val="00B525CC"/>
    <w:rsid w:val="00B835D0"/>
    <w:rsid w:val="00B84A1D"/>
    <w:rsid w:val="00BB2454"/>
    <w:rsid w:val="00BB3ACC"/>
    <w:rsid w:val="00BC304A"/>
    <w:rsid w:val="00BE3DB5"/>
    <w:rsid w:val="00BE6722"/>
    <w:rsid w:val="00C40140"/>
    <w:rsid w:val="00C50604"/>
    <w:rsid w:val="00C55B6A"/>
    <w:rsid w:val="00C6478F"/>
    <w:rsid w:val="00C70B1D"/>
    <w:rsid w:val="00CE24E5"/>
    <w:rsid w:val="00D256F2"/>
    <w:rsid w:val="00D302D9"/>
    <w:rsid w:val="00D404F2"/>
    <w:rsid w:val="00D46E25"/>
    <w:rsid w:val="00D87357"/>
    <w:rsid w:val="00D932D8"/>
    <w:rsid w:val="00DD7A34"/>
    <w:rsid w:val="00E35136"/>
    <w:rsid w:val="00E42F48"/>
    <w:rsid w:val="00E55563"/>
    <w:rsid w:val="00E607E6"/>
    <w:rsid w:val="00E90363"/>
    <w:rsid w:val="00EA4E61"/>
    <w:rsid w:val="00F04C52"/>
    <w:rsid w:val="00F04E45"/>
    <w:rsid w:val="00F26165"/>
    <w:rsid w:val="00F71FBB"/>
    <w:rsid w:val="00FC55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4024FCE"/>
  <w15:chartTrackingRefBased/>
  <w15:docId w15:val="{1B8A53FD-35E9-4EF7-AF4C-2DD89392B4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AD7557"/>
    <w:pPr>
      <w:tabs>
        <w:tab w:val="left" w:pos="284"/>
      </w:tabs>
      <w:spacing w:line="220" w:lineRule="exact"/>
      <w:jc w:val="both"/>
    </w:pPr>
    <w:rPr>
      <w:szCs w:val="24"/>
    </w:rPr>
  </w:style>
  <w:style w:type="paragraph" w:styleId="Titolo1">
    <w:name w:val="heading 1"/>
    <w:next w:val="Titolo2"/>
    <w:link w:val="Titolo1Carattere"/>
    <w:qFormat/>
    <w:rsid w:val="00E607E6"/>
    <w:pPr>
      <w:spacing w:before="480" w:line="240" w:lineRule="exact"/>
      <w:ind w:left="284" w:hanging="284"/>
      <w:jc w:val="both"/>
      <w:outlineLvl w:val="0"/>
    </w:pPr>
    <w:rPr>
      <w:rFonts w:ascii="Times" w:hAnsi="Times"/>
      <w:b/>
      <w:noProof/>
    </w:rPr>
  </w:style>
  <w:style w:type="paragraph" w:styleId="Titolo2">
    <w:name w:val="heading 2"/>
    <w:next w:val="Titolo3"/>
    <w:link w:val="Titolo2Carattere"/>
    <w:qFormat/>
    <w:rsid w:val="00E607E6"/>
    <w:pPr>
      <w:spacing w:line="240" w:lineRule="exact"/>
      <w:jc w:val="both"/>
      <w:outlineLvl w:val="1"/>
    </w:pPr>
    <w:rPr>
      <w:rFonts w:ascii="Times" w:hAnsi="Times"/>
      <w:smallCaps/>
      <w:noProof/>
      <w:sz w:val="18"/>
    </w:rPr>
  </w:style>
  <w:style w:type="paragraph" w:styleId="Titolo3">
    <w:name w:val="heading 3"/>
    <w:next w:val="Normale"/>
    <w:qFormat/>
    <w:rsid w:val="00A74F6F"/>
    <w:pPr>
      <w:spacing w:before="240" w:after="120" w:line="240" w:lineRule="exact"/>
      <w:ind w:left="284" w:hanging="284"/>
      <w:jc w:val="both"/>
      <w:outlineLvl w:val="2"/>
    </w:pPr>
    <w:rPr>
      <w:rFonts w:ascii="Times" w:hAnsi="Times"/>
      <w:i/>
      <w:caps/>
      <w:noProof/>
      <w:sz w:val="1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link w:val="Titolo1"/>
    <w:rsid w:val="00E607E6"/>
    <w:rPr>
      <w:rFonts w:ascii="Times" w:hAnsi="Times"/>
      <w:b/>
      <w:noProof/>
      <w:lang w:val="it-IT" w:eastAsia="it-IT" w:bidi="ar-SA"/>
    </w:rPr>
  </w:style>
  <w:style w:type="paragraph" w:customStyle="1" w:styleId="Testo1">
    <w:name w:val="Testo 1"/>
    <w:rsid w:val="00D404F2"/>
    <w:pPr>
      <w:spacing w:before="120" w:line="220" w:lineRule="exact"/>
      <w:ind w:left="284" w:hanging="284"/>
      <w:jc w:val="both"/>
    </w:pPr>
    <w:rPr>
      <w:rFonts w:ascii="Times" w:hAnsi="Times"/>
      <w:noProof/>
      <w:sz w:val="18"/>
    </w:rPr>
  </w:style>
  <w:style w:type="paragraph" w:customStyle="1" w:styleId="Testo2">
    <w:name w:val="Testo 2"/>
    <w:rsid w:val="00900CCA"/>
    <w:pPr>
      <w:tabs>
        <w:tab w:val="left" w:pos="284"/>
      </w:tabs>
      <w:spacing w:line="220" w:lineRule="exact"/>
      <w:ind w:firstLine="284"/>
      <w:jc w:val="both"/>
    </w:pPr>
    <w:rPr>
      <w:rFonts w:ascii="Times" w:hAnsi="Times"/>
      <w:noProof/>
      <w:sz w:val="18"/>
    </w:rPr>
  </w:style>
  <w:style w:type="character" w:customStyle="1" w:styleId="Titolo2Carattere">
    <w:name w:val="Titolo 2 Carattere"/>
    <w:link w:val="Titolo2"/>
    <w:rsid w:val="00E607E6"/>
    <w:rPr>
      <w:rFonts w:ascii="Times" w:hAnsi="Times"/>
      <w:smallCaps/>
      <w:noProof/>
      <w:sz w:val="18"/>
      <w:lang w:bidi="ar-SA"/>
    </w:rPr>
  </w:style>
  <w:style w:type="character" w:styleId="Collegamentoipertestuale">
    <w:name w:val="Hyperlink"/>
    <w:uiPriority w:val="99"/>
    <w:rsid w:val="00B835D0"/>
    <w:rPr>
      <w:rFonts w:cs="Times New Roman"/>
      <w:color w:val="0000FF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863E50"/>
    <w:rPr>
      <w:color w:val="605E5C"/>
      <w:shd w:val="clear" w:color="auto" w:fill="E1DFDD"/>
    </w:rPr>
  </w:style>
  <w:style w:type="paragraph" w:styleId="Paragrafoelenco">
    <w:name w:val="List Paragraph"/>
    <w:basedOn w:val="Normale"/>
    <w:uiPriority w:val="34"/>
    <w:qFormat/>
    <w:rsid w:val="00721D9C"/>
    <w:pPr>
      <w:ind w:left="720"/>
      <w:contextualSpacing/>
    </w:pPr>
  </w:style>
  <w:style w:type="paragraph" w:styleId="Testonotaapidipagina">
    <w:name w:val="footnote text"/>
    <w:basedOn w:val="Normale"/>
    <w:link w:val="TestonotaapidipaginaCarattere"/>
    <w:rsid w:val="005F2BC9"/>
    <w:pPr>
      <w:spacing w:line="240" w:lineRule="auto"/>
    </w:pPr>
    <w:rPr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rsid w:val="005F2BC9"/>
  </w:style>
  <w:style w:type="character" w:styleId="Rimandonotaapidipagina">
    <w:name w:val="footnote reference"/>
    <w:basedOn w:val="Carpredefinitoparagrafo"/>
    <w:rsid w:val="005F2BC9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80915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818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ibrerie.unicatt.it/scheda-libro/adolfo-di-majo/codice-civile-con-la-costituzione-i-trattati-ue-e-le-principali-norme-complementari-9788828878902-3952336.htm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librerie.unicatt.it/scheda-libro/giorgio-de-nova/codice-civile-e-leggi-collegate-2026-9788808343871-3953981.html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-ufgu-01-mi\Desktop\PROG_COR_2019.dotx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10635FD-E0EC-4760-B256-1CB40C1A3BEB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c44f471b-c90d-48ba-9261-bbb101e695d1}" enabled="1" method="Standard" siteId="{b94f7d74-81ff-44a9-b588-6682acc85779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PROG_COR_2019.dotx</Template>
  <TotalTime>4</TotalTime>
  <Pages>3</Pages>
  <Words>1091</Words>
  <Characters>6223</Characters>
  <Application>Microsoft Office Word</Application>
  <DocSecurity>0</DocSecurity>
  <Lines>51</Lines>
  <Paragraphs>14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U.C.S.C. MILANO</Company>
  <LinksUpToDate>false</LinksUpToDate>
  <CharactersWithSpaces>7300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s-ufgu-01-mi</dc:creator>
  <cp:keywords/>
  <cp:lastModifiedBy>Rolli Andrea</cp:lastModifiedBy>
  <cp:revision>4</cp:revision>
  <cp:lastPrinted>2022-05-16T13:14:00Z</cp:lastPrinted>
  <dcterms:created xsi:type="dcterms:W3CDTF">2026-06-16T07:48:00Z</dcterms:created>
  <dcterms:modified xsi:type="dcterms:W3CDTF">2026-07-09T08:24:00Z</dcterms:modified>
</cp:coreProperties>
</file>