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32A28" w:rsidRDefault="004C5877">
      <w:pPr>
        <w:pStyle w:val="Titolo1"/>
      </w:pPr>
      <w:r>
        <w:t>Comunicazione digitale per le istituzioni</w:t>
      </w:r>
    </w:p>
    <w:p w14:paraId="00000002" w14:textId="77777777" w:rsidR="00332A28" w:rsidRDefault="004C5877">
      <w:pPr>
        <w:pStyle w:val="Titolo2"/>
      </w:pPr>
      <w:r>
        <w:t>Prof.ssa Nicoletta Vittadini</w:t>
      </w:r>
    </w:p>
    <w:p w14:paraId="00000003" w14:textId="77777777" w:rsidR="00332A28" w:rsidRDefault="004C5877">
      <w:pPr>
        <w:spacing w:before="240" w:after="120" w:line="240" w:lineRule="auto"/>
        <w:rPr>
          <w:b/>
          <w:bCs/>
          <w:sz w:val="18"/>
          <w:szCs w:val="18"/>
        </w:rPr>
      </w:pPr>
      <w:r>
        <w:rPr>
          <w:b/>
          <w:bCs/>
          <w:i/>
          <w:iCs/>
          <w:sz w:val="18"/>
          <w:szCs w:val="18"/>
        </w:rPr>
        <w:t>OBIETTIVO DEL CORSO E RISULTATI DI APPRENDIMENTO ATTESI</w:t>
      </w:r>
    </w:p>
    <w:p w14:paraId="00000004" w14:textId="77777777" w:rsidR="00332A28" w:rsidRDefault="004C5877">
      <w:pPr>
        <w:spacing w:line="240" w:lineRule="auto"/>
      </w:pPr>
      <w:r>
        <w:t>Il corso si propone di fornire agli studenti gli strumenti teorici e analitici per comprendere e valutare criticamente le strategie di comunicazione digitale adottate da attori politici, istituzionali e diplomatici nel contesto contemporaneo. Partendo dalle conoscenze acquisite nel corso di Sociologia della Comunicazione, il corso approfondisce le specificità della comunicazione pubblica nell’ecosistema digitale, con particolare attenzione alle dimensioni della diplomazia digitale, della comunicazione politica e della disinformazione come strumento geopolitico.</w:t>
      </w:r>
    </w:p>
    <w:p w14:paraId="00000005" w14:textId="77777777" w:rsidR="00332A28" w:rsidRDefault="004C5877">
      <w:pPr>
        <w:spacing w:line="240" w:lineRule="auto"/>
        <w:rPr>
          <w:b/>
          <w:bCs/>
        </w:rPr>
      </w:pPr>
      <w:r>
        <w:rPr>
          <w:b/>
          <w:bCs/>
        </w:rPr>
        <w:t>Conoscenza e comprensione</w:t>
      </w:r>
    </w:p>
    <w:p w14:paraId="00000006" w14:textId="77777777" w:rsidR="00332A28" w:rsidRDefault="004C5877">
      <w:pPr>
        <w:spacing w:line="240" w:lineRule="auto"/>
      </w:pPr>
      <w:r>
        <w:t xml:space="preserve">Al termine del corso gli studenti saranno in possesso di conoscenze relative: alle principali dinamiche della comunicazione politica e istituzionale nell’ecosistema digitale; agli strumenti e alle pratiche della </w:t>
      </w:r>
      <w:proofErr w:type="spellStart"/>
      <w:r>
        <w:t>digital</w:t>
      </w:r>
      <w:proofErr w:type="spellEnd"/>
      <w:r>
        <w:t xml:space="preserve"> </w:t>
      </w:r>
      <w:proofErr w:type="spellStart"/>
      <w:r>
        <w:t>diplomacy</w:t>
      </w:r>
      <w:proofErr w:type="spellEnd"/>
      <w:r>
        <w:t xml:space="preserve"> e della public </w:t>
      </w:r>
      <w:proofErr w:type="spellStart"/>
      <w:r>
        <w:t>diplomacy</w:t>
      </w:r>
      <w:proofErr w:type="spellEnd"/>
      <w:r>
        <w:t xml:space="preserve"> contemporanea; ai meccanismi di produzione e diffusione della disinformazione come strategia deliberata di attori statali e non statali; alle strategie di propaganda nei conflitti contemporanei.</w:t>
      </w:r>
    </w:p>
    <w:p w14:paraId="00000007" w14:textId="77777777" w:rsidR="00332A28" w:rsidRDefault="004C5877">
      <w:pPr>
        <w:spacing w:line="240" w:lineRule="auto"/>
        <w:rPr>
          <w:b/>
          <w:bCs/>
        </w:rPr>
      </w:pPr>
      <w:r>
        <w:rPr>
          <w:b/>
          <w:bCs/>
        </w:rPr>
        <w:t>Capacità di applicare conoscenza e comprensione</w:t>
      </w:r>
    </w:p>
    <w:p w14:paraId="00000008" w14:textId="77777777" w:rsidR="00332A28" w:rsidRDefault="004C5877">
      <w:pPr>
        <w:spacing w:line="240" w:lineRule="auto"/>
      </w:pPr>
      <w:r>
        <w:t>Sulla base di tali conoscenze gli studenti saranno in grado di: analizzare criticamente la strategia di comunicazione digitale di un’istituzione o di un attore diplomatico; riconoscere e valutare campagne di disinformazione; sviluppare autonomia di giudizio critico relativamente ai principali fenomeni della comunicazione politica internazionale.</w:t>
      </w:r>
    </w:p>
    <w:p w14:paraId="00000009" w14:textId="77777777" w:rsidR="00332A28" w:rsidRDefault="004C5877">
      <w:pPr>
        <w:spacing w:before="240" w:after="120" w:line="240" w:lineRule="auto"/>
        <w:rPr>
          <w:b/>
          <w:bCs/>
          <w:sz w:val="18"/>
          <w:szCs w:val="18"/>
        </w:rPr>
      </w:pPr>
      <w:r>
        <w:rPr>
          <w:b/>
          <w:bCs/>
          <w:i/>
          <w:iCs/>
          <w:sz w:val="18"/>
          <w:szCs w:val="18"/>
        </w:rPr>
        <w:t>PROGRAMMA DEL CORSO</w:t>
      </w:r>
    </w:p>
    <w:p w14:paraId="0000000A" w14:textId="77777777" w:rsidR="00332A28" w:rsidRDefault="004C5877">
      <w:pPr>
        <w:spacing w:line="240" w:lineRule="auto"/>
      </w:pPr>
      <w:r>
        <w:t>Nel corso verranno affrontati i seguenti temi:</w:t>
      </w:r>
    </w:p>
    <w:p w14:paraId="0000000B" w14:textId="77777777" w:rsidR="00332A28" w:rsidRDefault="004C5877">
      <w:pPr>
        <w:spacing w:line="240" w:lineRule="auto"/>
      </w:pPr>
      <w:r>
        <w:t>–</w:t>
      </w:r>
      <w:r>
        <w:tab/>
        <w:t>Scenario: comunicazione digitale e istituzioni. Le logiche di piattaforma rilette dalla prospettiva della comunicazione pubblica. Gli attori istituzionali della comunicazione digitale: governi, organizzazioni internazionali, movimenti. Credibilità, autorevolezza e fiducia nell’era della post-verità.</w:t>
      </w:r>
    </w:p>
    <w:p w14:paraId="0000000C" w14:textId="77777777" w:rsidR="00332A28" w:rsidRDefault="004C5877">
      <w:pPr>
        <w:spacing w:line="240" w:lineRule="auto"/>
      </w:pPr>
      <w:r>
        <w:t>–</w:t>
      </w:r>
      <w:r>
        <w:tab/>
        <w:t xml:space="preserve">Digital </w:t>
      </w:r>
      <w:proofErr w:type="spellStart"/>
      <w:r>
        <w:t>diplomacy</w:t>
      </w:r>
      <w:proofErr w:type="spellEnd"/>
      <w:r>
        <w:t xml:space="preserve"> e public </w:t>
      </w:r>
      <w:proofErr w:type="spellStart"/>
      <w:r>
        <w:t>diplomacy</w:t>
      </w:r>
      <w:proofErr w:type="spellEnd"/>
      <w:r>
        <w:t>. Dall’era del broadcasting internazionale ai social media. Soft power e smart power. Attori e pratiche della diplomazia digitale: organizzazioni internazionali, leader politici, media statali. Nation branding e narrazione internazionale.</w:t>
      </w:r>
    </w:p>
    <w:p w14:paraId="0000000D" w14:textId="77777777" w:rsidR="00332A28" w:rsidRDefault="004C5877">
      <w:pPr>
        <w:spacing w:line="240" w:lineRule="auto"/>
      </w:pPr>
      <w:r>
        <w:t>–</w:t>
      </w:r>
      <w:r>
        <w:tab/>
        <w:t xml:space="preserve">Comunicazione politica digitale. Personalizzazione della politica e </w:t>
      </w:r>
      <w:proofErr w:type="spellStart"/>
      <w:r>
        <w:t>microtargeting</w:t>
      </w:r>
      <w:proofErr w:type="spellEnd"/>
      <w:r>
        <w:t>. Populismo digitale e movimenti politici online. Campagne elettorali nell’ecosistema delle piattaforme: casi europei.</w:t>
      </w:r>
    </w:p>
    <w:p w14:paraId="0000000E" w14:textId="77777777" w:rsidR="00332A28" w:rsidRDefault="004C5877">
      <w:pPr>
        <w:spacing w:line="240" w:lineRule="auto"/>
      </w:pPr>
      <w:r>
        <w:lastRenderedPageBreak/>
        <w:t>–</w:t>
      </w:r>
      <w:r>
        <w:tab/>
        <w:t xml:space="preserve">Disinformazione, propaganda e guerra ibrida. </w:t>
      </w:r>
      <w:proofErr w:type="spellStart"/>
      <w:r>
        <w:t>Misinformation</w:t>
      </w:r>
      <w:proofErr w:type="spellEnd"/>
      <w:r>
        <w:t xml:space="preserve">, </w:t>
      </w:r>
      <w:proofErr w:type="spellStart"/>
      <w:r>
        <w:t>disinformation</w:t>
      </w:r>
      <w:proofErr w:type="spellEnd"/>
      <w:r>
        <w:t xml:space="preserve"> e </w:t>
      </w:r>
      <w:proofErr w:type="spellStart"/>
      <w:r>
        <w:t>malinformation</w:t>
      </w:r>
      <w:proofErr w:type="spellEnd"/>
      <w:r>
        <w:t>: distinzioni concettuali e implicazioni politiche. La disinformazione come strumento geopolitico deliberato: attori statali e non statali. Propaganda nei conflitti contemporanei: il caso russo-ucraino e altri scenari internazionali (Gaza, Taiwan, pandemia, crisi climatica).</w:t>
      </w:r>
    </w:p>
    <w:p w14:paraId="0000000F" w14:textId="77777777" w:rsidR="00332A28" w:rsidRDefault="004C5877">
      <w:pPr>
        <w:spacing w:line="240" w:lineRule="auto"/>
      </w:pPr>
      <w:r>
        <w:t>Tutti i temi verranno affrontati attraverso la presentazione dei principali autori e delle principali ricerche empiriche, l’analisi di casi italiani e internazionali, e attività laboratoriali di analisi applicata. Il corso prevede un modulo conclusivo di laboratorio in cui gli studenti analizzano, in gruppo, la strategia di comunicazione digitale di un’istituzione o di un attore diplomatico su almeno due piattaforme.</w:t>
      </w:r>
    </w:p>
    <w:p w14:paraId="00000010" w14:textId="60256EEA" w:rsidR="00332A28" w:rsidRDefault="004C5877">
      <w:pPr>
        <w:keepNext/>
        <w:spacing w:before="240" w:after="120" w:line="240" w:lineRule="auto"/>
        <w:rPr>
          <w:b/>
          <w:bCs/>
          <w:sz w:val="18"/>
          <w:szCs w:val="18"/>
        </w:rPr>
      </w:pPr>
      <w:r>
        <w:rPr>
          <w:b/>
          <w:bCs/>
          <w:i/>
          <w:iCs/>
          <w:sz w:val="18"/>
          <w:szCs w:val="18"/>
        </w:rPr>
        <w:t>BIBLIOGRAFIA</w:t>
      </w:r>
      <w:r w:rsidR="00B72143">
        <w:rPr>
          <w:rStyle w:val="Rimandonotaapidipagina"/>
          <w:b/>
          <w:bCs/>
          <w:i/>
          <w:iCs/>
          <w:sz w:val="18"/>
          <w:szCs w:val="18"/>
        </w:rPr>
        <w:footnoteReference w:id="1"/>
      </w:r>
    </w:p>
    <w:p w14:paraId="00000011" w14:textId="460D26CE" w:rsidR="00332A28" w:rsidRPr="00D23A47" w:rsidRDefault="004C5877">
      <w:pPr>
        <w:spacing w:line="240" w:lineRule="auto"/>
        <w:ind w:left="284" w:hanging="284"/>
        <w:rPr>
          <w:sz w:val="18"/>
          <w:szCs w:val="18"/>
        </w:rPr>
      </w:pPr>
      <w:proofErr w:type="spellStart"/>
      <w:r w:rsidRPr="00D23A47">
        <w:rPr>
          <w:smallCaps/>
          <w:sz w:val="18"/>
          <w:szCs w:val="18"/>
        </w:rPr>
        <w:t>Anzera</w:t>
      </w:r>
      <w:proofErr w:type="spellEnd"/>
      <w:r w:rsidRPr="00D23A47">
        <w:rPr>
          <w:smallCaps/>
          <w:sz w:val="18"/>
          <w:szCs w:val="18"/>
        </w:rPr>
        <w:t xml:space="preserve">, G. – Massa, A. </w:t>
      </w:r>
      <w:r w:rsidRPr="00D23A47">
        <w:rPr>
          <w:i/>
          <w:iCs/>
          <w:sz w:val="18"/>
          <w:szCs w:val="18"/>
        </w:rPr>
        <w:t>Media digitali e relazioni internazionali</w:t>
      </w:r>
      <w:r w:rsidRPr="00D23A47">
        <w:rPr>
          <w:sz w:val="18"/>
          <w:szCs w:val="18"/>
        </w:rPr>
        <w:t>, Guerini Scientifica, Milano, 2021.</w:t>
      </w:r>
      <w:r w:rsidR="00F2580A" w:rsidRPr="00F2580A">
        <w:t xml:space="preserve"> </w:t>
      </w:r>
      <w:hyperlink r:id="rId7" w:history="1">
        <w:r w:rsidR="00F2580A" w:rsidRPr="00F2580A">
          <w:rPr>
            <w:rStyle w:val="Collegamentoipertestuale"/>
            <w:i/>
            <w:iCs/>
            <w:sz w:val="18"/>
            <w:szCs w:val="18"/>
          </w:rPr>
          <w:t>Acquista da VP</w:t>
        </w:r>
      </w:hyperlink>
    </w:p>
    <w:p w14:paraId="70D0B9E0" w14:textId="30D40634" w:rsidR="00104B69" w:rsidRPr="00104B69" w:rsidRDefault="004C5877" w:rsidP="00104B69">
      <w:pPr>
        <w:spacing w:line="240" w:lineRule="auto"/>
        <w:ind w:left="284" w:hanging="284"/>
        <w:rPr>
          <w:sz w:val="18"/>
          <w:szCs w:val="18"/>
          <w:lang w:val="it-IT"/>
        </w:rPr>
      </w:pPr>
      <w:r w:rsidRPr="00D23A47">
        <w:rPr>
          <w:smallCaps/>
          <w:sz w:val="18"/>
          <w:szCs w:val="18"/>
        </w:rPr>
        <w:t xml:space="preserve">Balbi, G. – Comunello, F. – Pasquali, F. – Sorice, M. (a cura di) </w:t>
      </w:r>
      <w:r w:rsidRPr="00D23A47">
        <w:rPr>
          <w:i/>
          <w:iCs/>
          <w:sz w:val="18"/>
          <w:szCs w:val="18"/>
        </w:rPr>
        <w:t>Studiare i media. Prospettive disciplinari e parole chiave</w:t>
      </w:r>
      <w:r w:rsidRPr="00D23A47">
        <w:rPr>
          <w:sz w:val="18"/>
          <w:szCs w:val="18"/>
        </w:rPr>
        <w:t>, Carocci, Roma, 2025.</w:t>
      </w:r>
      <w:bookmarkStart w:id="0" w:name="_Hlk140133243"/>
      <w:bookmarkStart w:id="1" w:name="_Hlk140135542"/>
      <w:bookmarkStart w:id="2" w:name="_Hlk141261349"/>
      <w:r w:rsidR="00104B69" w:rsidRPr="00104B69">
        <w:rPr>
          <w:sz w:val="18"/>
          <w:szCs w:val="18"/>
          <w:lang w:val="it-IT"/>
        </w:rPr>
        <w:t xml:space="preserve"> </w:t>
      </w:r>
      <w:hyperlink r:id="rId8" w:history="1">
        <w:r w:rsidR="00104B69" w:rsidRPr="00104B69">
          <w:rPr>
            <w:rStyle w:val="Collegamentoipertestuale"/>
            <w:i/>
            <w:sz w:val="18"/>
            <w:szCs w:val="18"/>
            <w:lang w:val="it-IT"/>
          </w:rPr>
          <w:t>Acquista da VP</w:t>
        </w:r>
      </w:hyperlink>
      <w:bookmarkEnd w:id="0"/>
    </w:p>
    <w:bookmarkEnd w:id="1"/>
    <w:bookmarkEnd w:id="2"/>
    <w:p w14:paraId="00000012" w14:textId="1277AA1C" w:rsidR="00332A28" w:rsidRPr="00104B69" w:rsidRDefault="00332A28">
      <w:pPr>
        <w:spacing w:line="240" w:lineRule="auto"/>
        <w:ind w:left="284" w:hanging="284"/>
        <w:rPr>
          <w:sz w:val="18"/>
          <w:szCs w:val="18"/>
          <w:lang w:val="it-IT"/>
        </w:rPr>
      </w:pPr>
    </w:p>
    <w:p w14:paraId="00000013" w14:textId="77777777" w:rsidR="00332A28" w:rsidRPr="00D23A47" w:rsidRDefault="004C5877">
      <w:pPr>
        <w:spacing w:line="240" w:lineRule="auto"/>
        <w:rPr>
          <w:sz w:val="18"/>
          <w:szCs w:val="18"/>
        </w:rPr>
      </w:pPr>
      <w:r w:rsidRPr="00D23A47">
        <w:rPr>
          <w:sz w:val="18"/>
          <w:szCs w:val="18"/>
        </w:rPr>
        <w:t>I testi non vanno studiati integralmente: le parti oggetto d’esame saranno indicate dal docente durante il corso e rese disponibili sulla piattaforma Blackboard. Materiali aggiornati su casi e ricerche verranno forniti direttamente dal docente nel corso delle lezioni.</w:t>
      </w:r>
    </w:p>
    <w:p w14:paraId="00000015" w14:textId="77777777" w:rsidR="00332A28" w:rsidRDefault="004C5877">
      <w:pPr>
        <w:spacing w:before="240" w:after="120" w:line="220" w:lineRule="auto"/>
        <w:rPr>
          <w:b/>
          <w:bCs/>
          <w:i/>
          <w:iCs/>
          <w:sz w:val="18"/>
          <w:szCs w:val="18"/>
        </w:rPr>
      </w:pPr>
      <w:r>
        <w:rPr>
          <w:b/>
          <w:bCs/>
          <w:i/>
          <w:iCs/>
          <w:sz w:val="18"/>
          <w:szCs w:val="18"/>
        </w:rPr>
        <w:t>DIDATTICA DEL CORSO</w:t>
      </w:r>
    </w:p>
    <w:p w14:paraId="00000016" w14:textId="77777777" w:rsidR="00332A28" w:rsidRDefault="004C5877">
      <w:pPr>
        <w:pBdr>
          <w:top w:val="nil"/>
          <w:left w:val="nil"/>
          <w:bottom w:val="nil"/>
          <w:right w:val="nil"/>
          <w:between w:val="nil"/>
        </w:pBdr>
        <w:spacing w:line="220" w:lineRule="auto"/>
        <w:ind w:firstLine="284"/>
        <w:rPr>
          <w:rFonts w:ascii="Times" w:eastAsia="Times" w:hAnsi="Times" w:cs="Times"/>
          <w:color w:val="000000"/>
          <w:sz w:val="18"/>
          <w:szCs w:val="18"/>
        </w:rPr>
      </w:pPr>
      <w:r>
        <w:rPr>
          <w:rFonts w:ascii="Times" w:eastAsia="Times" w:hAnsi="Times" w:cs="Times"/>
          <w:color w:val="000000"/>
          <w:sz w:val="18"/>
          <w:szCs w:val="18"/>
        </w:rPr>
        <w:t>L’attività didattica comprende lezioni frontali a carattere teorico, analisi di casi italiani e internazionali, esercitazioni di gruppo e un modulo laboratoriale conclusivo.</w:t>
      </w:r>
    </w:p>
    <w:p w14:paraId="00000017" w14:textId="77777777" w:rsidR="00332A28" w:rsidRDefault="004C5877">
      <w:pPr>
        <w:spacing w:before="240" w:after="120" w:line="220" w:lineRule="auto"/>
        <w:rPr>
          <w:b/>
          <w:bCs/>
          <w:i/>
          <w:iCs/>
          <w:sz w:val="18"/>
          <w:szCs w:val="18"/>
        </w:rPr>
      </w:pPr>
      <w:r>
        <w:rPr>
          <w:b/>
          <w:bCs/>
          <w:i/>
          <w:iCs/>
          <w:sz w:val="18"/>
          <w:szCs w:val="18"/>
        </w:rPr>
        <w:t>METODO E CRITERI DI VALUTAZIONE</w:t>
      </w:r>
    </w:p>
    <w:p w14:paraId="00000018" w14:textId="77777777" w:rsidR="00332A28" w:rsidRDefault="004C5877">
      <w:pPr>
        <w:pBdr>
          <w:top w:val="nil"/>
          <w:left w:val="nil"/>
          <w:bottom w:val="nil"/>
          <w:right w:val="nil"/>
          <w:between w:val="nil"/>
        </w:pBdr>
        <w:spacing w:line="220" w:lineRule="auto"/>
        <w:ind w:firstLine="284"/>
        <w:rPr>
          <w:rFonts w:ascii="Times" w:eastAsia="Times" w:hAnsi="Times" w:cs="Times"/>
          <w:color w:val="000000"/>
          <w:sz w:val="18"/>
          <w:szCs w:val="18"/>
        </w:rPr>
      </w:pPr>
      <w:r>
        <w:rPr>
          <w:rFonts w:ascii="Times" w:eastAsia="Times" w:hAnsi="Times" w:cs="Times"/>
          <w:color w:val="000000"/>
          <w:sz w:val="18"/>
          <w:szCs w:val="18"/>
        </w:rPr>
        <w:t xml:space="preserve">La valutazione verrà effettuata attraverso una </w:t>
      </w:r>
      <w:r>
        <w:rPr>
          <w:rFonts w:ascii="Times" w:eastAsia="Times" w:hAnsi="Times" w:cs="Times"/>
          <w:b/>
          <w:bCs/>
          <w:color w:val="000000"/>
          <w:sz w:val="18"/>
          <w:szCs w:val="18"/>
        </w:rPr>
        <w:t>prova scritta in italiano</w:t>
      </w:r>
      <w:r>
        <w:rPr>
          <w:rFonts w:ascii="Times" w:eastAsia="Times" w:hAnsi="Times" w:cs="Times"/>
          <w:color w:val="000000"/>
          <w:sz w:val="18"/>
          <w:szCs w:val="18"/>
        </w:rPr>
        <w:t xml:space="preserve"> al termine del corso, consistente in </w:t>
      </w:r>
      <w:r>
        <w:rPr>
          <w:rFonts w:ascii="Times" w:eastAsia="Times" w:hAnsi="Times" w:cs="Times"/>
          <w:b/>
          <w:bCs/>
          <w:color w:val="000000"/>
          <w:sz w:val="18"/>
          <w:szCs w:val="18"/>
        </w:rPr>
        <w:t>tre domande aperte</w:t>
      </w:r>
      <w:r>
        <w:rPr>
          <w:rFonts w:ascii="Times" w:eastAsia="Times" w:hAnsi="Times" w:cs="Times"/>
          <w:color w:val="000000"/>
          <w:sz w:val="18"/>
          <w:szCs w:val="18"/>
        </w:rPr>
        <w:t xml:space="preserve"> a cui rispondere in un’ora di tempo (70% del voto finale), e attraverso un </w:t>
      </w:r>
      <w:r>
        <w:rPr>
          <w:rFonts w:ascii="Times" w:eastAsia="Times" w:hAnsi="Times" w:cs="Times"/>
          <w:b/>
          <w:bCs/>
          <w:color w:val="000000"/>
          <w:sz w:val="18"/>
          <w:szCs w:val="18"/>
        </w:rPr>
        <w:t>progetto di gruppo</w:t>
      </w:r>
      <w:r>
        <w:rPr>
          <w:rFonts w:ascii="Times" w:eastAsia="Times" w:hAnsi="Times" w:cs="Times"/>
          <w:color w:val="000000"/>
          <w:sz w:val="18"/>
          <w:szCs w:val="18"/>
        </w:rPr>
        <w:t xml:space="preserve"> con presentazione orale (30% del voto finale).</w:t>
      </w:r>
    </w:p>
    <w:p w14:paraId="00000019" w14:textId="77777777" w:rsidR="00332A28" w:rsidRDefault="004C5877">
      <w:pPr>
        <w:pBdr>
          <w:top w:val="nil"/>
          <w:left w:val="nil"/>
          <w:bottom w:val="nil"/>
          <w:right w:val="nil"/>
          <w:between w:val="nil"/>
        </w:pBdr>
        <w:spacing w:line="220" w:lineRule="auto"/>
        <w:ind w:firstLine="284"/>
        <w:rPr>
          <w:rFonts w:ascii="Times" w:eastAsia="Times" w:hAnsi="Times" w:cs="Times"/>
          <w:color w:val="000000"/>
          <w:sz w:val="18"/>
          <w:szCs w:val="18"/>
        </w:rPr>
      </w:pPr>
      <w:r>
        <w:rPr>
          <w:rFonts w:ascii="Times" w:eastAsia="Times" w:hAnsi="Times" w:cs="Times"/>
          <w:color w:val="000000"/>
          <w:sz w:val="18"/>
          <w:szCs w:val="18"/>
        </w:rPr>
        <w:t xml:space="preserve">Allo studente sarà chiesto di dimostrare una sicura conoscenza delle questioni affrontate nel corso, con appropriato uso della terminologia specifica e capacità di argomentazione critica. La prova scritta verrà valutata in trentesimi attribuendo a ciascuna domanda un massimo di </w:t>
      </w:r>
      <w:proofErr w:type="gramStart"/>
      <w:r>
        <w:rPr>
          <w:rFonts w:ascii="Times" w:eastAsia="Times" w:hAnsi="Times" w:cs="Times"/>
          <w:color w:val="000000"/>
          <w:sz w:val="18"/>
          <w:szCs w:val="18"/>
        </w:rPr>
        <w:t>10</w:t>
      </w:r>
      <w:proofErr w:type="gramEnd"/>
      <w:r>
        <w:rPr>
          <w:rFonts w:ascii="Times" w:eastAsia="Times" w:hAnsi="Times" w:cs="Times"/>
          <w:color w:val="000000"/>
          <w:sz w:val="18"/>
          <w:szCs w:val="18"/>
        </w:rPr>
        <w:t xml:space="preserve"> punti.</w:t>
      </w:r>
    </w:p>
    <w:p w14:paraId="0000001A" w14:textId="77777777" w:rsidR="00332A28" w:rsidRDefault="004C5877">
      <w:pPr>
        <w:pBdr>
          <w:top w:val="nil"/>
          <w:left w:val="nil"/>
          <w:bottom w:val="nil"/>
          <w:right w:val="nil"/>
          <w:between w:val="nil"/>
        </w:pBdr>
        <w:spacing w:line="220" w:lineRule="auto"/>
        <w:ind w:firstLine="284"/>
        <w:rPr>
          <w:rFonts w:ascii="Times" w:eastAsia="Times" w:hAnsi="Times" w:cs="Times"/>
          <w:color w:val="000000"/>
          <w:sz w:val="18"/>
          <w:szCs w:val="18"/>
        </w:rPr>
      </w:pPr>
      <w:r>
        <w:rPr>
          <w:rFonts w:ascii="Times" w:eastAsia="Times" w:hAnsi="Times" w:cs="Times"/>
          <w:color w:val="000000"/>
          <w:sz w:val="18"/>
          <w:szCs w:val="18"/>
        </w:rPr>
        <w:t>Il progetto di gruppo (3-4 studenti) consiste nell’analisi della strategia di comunicazione digitale di un’istituzione, un attore diplomatico o una campagna politica su almeno due piattaforme. Il gruppo presenta l’analisi nell’ultima lezione del corso. La valutazione considera la qualità dell’analisi, l’uso dei concetti del corso e la chiarezza espositiva.</w:t>
      </w:r>
    </w:p>
    <w:p w14:paraId="0000001B" w14:textId="77777777" w:rsidR="00332A28" w:rsidRDefault="004C5877">
      <w:pPr>
        <w:spacing w:before="240" w:after="120" w:line="240" w:lineRule="auto"/>
        <w:rPr>
          <w:b/>
          <w:bCs/>
          <w:i/>
          <w:iCs/>
          <w:sz w:val="18"/>
          <w:szCs w:val="18"/>
        </w:rPr>
      </w:pPr>
      <w:r>
        <w:rPr>
          <w:b/>
          <w:bCs/>
          <w:i/>
          <w:iCs/>
          <w:sz w:val="18"/>
          <w:szCs w:val="18"/>
        </w:rPr>
        <w:t>AVVERTENZE E PREREQUISITI</w:t>
      </w:r>
    </w:p>
    <w:p w14:paraId="0000001C" w14:textId="77777777" w:rsidR="00332A28" w:rsidRDefault="004C5877">
      <w:pPr>
        <w:pBdr>
          <w:top w:val="nil"/>
          <w:left w:val="nil"/>
          <w:bottom w:val="nil"/>
          <w:right w:val="nil"/>
          <w:between w:val="nil"/>
        </w:pBdr>
        <w:spacing w:line="220" w:lineRule="auto"/>
        <w:ind w:firstLine="284"/>
        <w:rPr>
          <w:rFonts w:ascii="Times" w:eastAsia="Times" w:hAnsi="Times" w:cs="Times"/>
          <w:color w:val="000000"/>
          <w:sz w:val="18"/>
          <w:szCs w:val="18"/>
        </w:rPr>
      </w:pPr>
      <w:r>
        <w:rPr>
          <w:rFonts w:ascii="Times" w:eastAsia="Times" w:hAnsi="Times" w:cs="Times"/>
          <w:color w:val="000000"/>
          <w:sz w:val="18"/>
          <w:szCs w:val="18"/>
        </w:rPr>
        <w:t>Tutti gli studenti sono tenuti a verificare eventuali variazioni del programma consultando la pagina Blackboard del corso all’interno del sito web dell’Università.</w:t>
      </w:r>
    </w:p>
    <w:p w14:paraId="0000001D" w14:textId="77777777" w:rsidR="00332A28" w:rsidRDefault="004C5877">
      <w:pPr>
        <w:pBdr>
          <w:top w:val="nil"/>
          <w:left w:val="nil"/>
          <w:bottom w:val="nil"/>
          <w:right w:val="nil"/>
          <w:between w:val="nil"/>
        </w:pBdr>
        <w:spacing w:line="220" w:lineRule="auto"/>
        <w:ind w:firstLine="284"/>
        <w:rPr>
          <w:rFonts w:ascii="Times" w:eastAsia="Times" w:hAnsi="Times" w:cs="Times"/>
          <w:color w:val="000000"/>
          <w:sz w:val="18"/>
          <w:szCs w:val="18"/>
        </w:rPr>
      </w:pPr>
      <w:r>
        <w:rPr>
          <w:rFonts w:ascii="Times" w:eastAsia="Times" w:hAnsi="Times" w:cs="Times"/>
          <w:color w:val="000000"/>
          <w:sz w:val="18"/>
          <w:szCs w:val="18"/>
        </w:rPr>
        <w:lastRenderedPageBreak/>
        <w:t>Il corso presuppone la conoscenza dei contenuti del corso di Sociologia della Comunicazione (primo anno). Gli studenti sono invitati a ripassare i concetti fondamentali relativi alle logiche di piattaforma, agli algoritmi e alla sfera pubblica digitale prima dell’inizio delle lezioni.</w:t>
      </w:r>
    </w:p>
    <w:p w14:paraId="0000001E" w14:textId="77777777" w:rsidR="00332A28" w:rsidRDefault="004C5877">
      <w:pPr>
        <w:spacing w:before="240" w:after="120" w:line="240" w:lineRule="auto"/>
        <w:rPr>
          <w:b/>
          <w:bCs/>
          <w:i/>
          <w:iCs/>
          <w:sz w:val="18"/>
          <w:szCs w:val="18"/>
        </w:rPr>
      </w:pPr>
      <w:r>
        <w:rPr>
          <w:b/>
          <w:bCs/>
          <w:i/>
          <w:iCs/>
          <w:sz w:val="18"/>
          <w:szCs w:val="18"/>
        </w:rPr>
        <w:t>ORARIO E LUOGO DI RICEVIMENTO</w:t>
      </w:r>
    </w:p>
    <w:p w14:paraId="0000001F" w14:textId="77777777" w:rsidR="00332A28" w:rsidRDefault="004C5877">
      <w:pPr>
        <w:pBdr>
          <w:top w:val="nil"/>
          <w:left w:val="nil"/>
          <w:bottom w:val="nil"/>
          <w:right w:val="nil"/>
          <w:between w:val="nil"/>
        </w:pBdr>
        <w:spacing w:line="220" w:lineRule="auto"/>
        <w:ind w:firstLine="284"/>
        <w:rPr>
          <w:rFonts w:ascii="Times" w:eastAsia="Times" w:hAnsi="Times" w:cs="Times"/>
          <w:color w:val="000000"/>
          <w:sz w:val="18"/>
          <w:szCs w:val="18"/>
        </w:rPr>
      </w:pPr>
      <w:r>
        <w:rPr>
          <w:rFonts w:ascii="Times" w:eastAsia="Times" w:hAnsi="Times" w:cs="Times"/>
          <w:color w:val="000000"/>
          <w:sz w:val="18"/>
          <w:szCs w:val="18"/>
        </w:rPr>
        <w:t>La Prof.ssa Nicoletta Vittadini riceve gli studenti tramite la piattaforma Google Meet (è possibile prendere appuntamento al link presente nella pagina docente).</w:t>
      </w:r>
    </w:p>
    <w:sectPr w:rsidR="00332A28">
      <w:pgSz w:w="11906" w:h="16838"/>
      <w:pgMar w:top="3515" w:right="2608" w:bottom="3515" w:left="2608"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E7100" w14:textId="77777777" w:rsidR="00D4564B" w:rsidRDefault="00D4564B" w:rsidP="00B72143">
      <w:pPr>
        <w:spacing w:line="240" w:lineRule="auto"/>
      </w:pPr>
      <w:r>
        <w:separator/>
      </w:r>
    </w:p>
  </w:endnote>
  <w:endnote w:type="continuationSeparator" w:id="0">
    <w:p w14:paraId="00F0EBA4" w14:textId="77777777" w:rsidR="00D4564B" w:rsidRDefault="00D4564B" w:rsidP="00B721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embedRegular r:id="rId1" w:fontKey="{3602EC53-E63D-4C00-BB9A-9BB75C05CF92}"/>
    <w:embedBold r:id="rId2" w:fontKey="{21CB9CC2-0429-4628-99D8-00733EF24038}"/>
    <w:embedItalic r:id="rId3" w:fontKey="{C4BC7B61-9FAC-4D2E-9C4C-93CFE0260D24}"/>
  </w:font>
  <w:font w:name="Georgia">
    <w:panose1 w:val="02040502050405020303"/>
    <w:charset w:val="00"/>
    <w:family w:val="roman"/>
    <w:pitch w:val="variable"/>
    <w:sig w:usb0="00000287" w:usb1="00000000" w:usb2="00000000" w:usb3="00000000" w:csb0="0000009F" w:csb1="00000000"/>
    <w:embedItalic r:id="rId4" w:fontKey="{69F94532-A705-400D-AD74-7FF4E0025BA6}"/>
  </w:font>
  <w:font w:name="Calibri">
    <w:panose1 w:val="020F0502020204030204"/>
    <w:charset w:val="00"/>
    <w:family w:val="swiss"/>
    <w:pitch w:val="variable"/>
    <w:sig w:usb0="E4002EFF" w:usb1="C200247B" w:usb2="00000009" w:usb3="00000000" w:csb0="000001FF" w:csb1="00000000"/>
    <w:embedRegular r:id="rId5" w:fontKey="{CF862405-9FF8-473C-AA91-E1A9327E18A7}"/>
  </w:font>
  <w:font w:name="Cambria">
    <w:panose1 w:val="02040503050406030204"/>
    <w:charset w:val="00"/>
    <w:family w:val="roman"/>
    <w:pitch w:val="variable"/>
    <w:sig w:usb0="E00006FF" w:usb1="420024FF" w:usb2="02000000" w:usb3="00000000" w:csb0="0000019F" w:csb1="00000000"/>
    <w:embedRegular r:id="rId6" w:fontKey="{E2A5443B-0CFE-4EA9-8452-FD46FC5DCD0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4877C" w14:textId="77777777" w:rsidR="00D4564B" w:rsidRDefault="00D4564B" w:rsidP="00B72143">
      <w:pPr>
        <w:spacing w:line="240" w:lineRule="auto"/>
      </w:pPr>
      <w:r>
        <w:separator/>
      </w:r>
    </w:p>
  </w:footnote>
  <w:footnote w:type="continuationSeparator" w:id="0">
    <w:p w14:paraId="37E06382" w14:textId="77777777" w:rsidR="00D4564B" w:rsidRDefault="00D4564B" w:rsidP="00B72143">
      <w:pPr>
        <w:spacing w:line="240" w:lineRule="auto"/>
      </w:pPr>
      <w:r>
        <w:continuationSeparator/>
      </w:r>
    </w:p>
  </w:footnote>
  <w:footnote w:id="1">
    <w:p w14:paraId="171CF408" w14:textId="17219954" w:rsidR="00B72143" w:rsidRPr="00B72143" w:rsidRDefault="00B72143" w:rsidP="00B72143">
      <w:pPr>
        <w:rPr>
          <w:sz w:val="16"/>
          <w:szCs w:val="16"/>
        </w:rPr>
      </w:pPr>
      <w:r>
        <w:rPr>
          <w:rStyle w:val="Rimandonotaapidipagina"/>
        </w:rPr>
        <w:footnoteRef/>
      </w:r>
      <w:r>
        <w:t xml:space="preserve"> </w:t>
      </w:r>
      <w:r w:rsidRPr="00E931E1">
        <w:rPr>
          <w:sz w:val="16"/>
          <w:szCs w:val="16"/>
        </w:rPr>
        <w:t>I testi indicati nella bibliografia sono acquistabili presso le librerie di Ateneo; è possibile acquistarli anche presso altri rivenditori.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A28"/>
    <w:rsid w:val="0004149E"/>
    <w:rsid w:val="00104B69"/>
    <w:rsid w:val="00232077"/>
    <w:rsid w:val="00282DBE"/>
    <w:rsid w:val="00332A28"/>
    <w:rsid w:val="004C5877"/>
    <w:rsid w:val="005566ED"/>
    <w:rsid w:val="00860D17"/>
    <w:rsid w:val="008F68D5"/>
    <w:rsid w:val="00B72143"/>
    <w:rsid w:val="00C60A48"/>
    <w:rsid w:val="00C701C2"/>
    <w:rsid w:val="00C72631"/>
    <w:rsid w:val="00C84F11"/>
    <w:rsid w:val="00D23A47"/>
    <w:rsid w:val="00D4564B"/>
    <w:rsid w:val="00F2580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E6B28"/>
  <w15:docId w15:val="{5F5A046A-138A-124E-9153-7C6D04796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 w:eastAsia="it-IT"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pBdr>
        <w:top w:val="nil"/>
        <w:left w:val="nil"/>
        <w:bottom w:val="nil"/>
        <w:right w:val="nil"/>
        <w:between w:val="nil"/>
      </w:pBdr>
      <w:spacing w:before="480" w:line="240" w:lineRule="auto"/>
      <w:ind w:left="284" w:hanging="284"/>
      <w:outlineLvl w:val="0"/>
    </w:pPr>
    <w:rPr>
      <w:rFonts w:ascii="Times" w:eastAsia="Times" w:hAnsi="Times" w:cs="Times"/>
      <w:b/>
      <w:bCs/>
      <w:color w:val="000000"/>
    </w:rPr>
  </w:style>
  <w:style w:type="paragraph" w:styleId="Titolo2">
    <w:name w:val="heading 2"/>
    <w:basedOn w:val="Normale"/>
    <w:next w:val="Normale"/>
    <w:uiPriority w:val="9"/>
    <w:unhideWhenUsed/>
    <w:qFormat/>
    <w:pPr>
      <w:pBdr>
        <w:top w:val="nil"/>
        <w:left w:val="nil"/>
        <w:bottom w:val="nil"/>
        <w:right w:val="nil"/>
        <w:between w:val="nil"/>
      </w:pBdr>
      <w:spacing w:line="240" w:lineRule="auto"/>
      <w:outlineLvl w:val="1"/>
    </w:pPr>
    <w:rPr>
      <w:rFonts w:ascii="Times" w:eastAsia="Times" w:hAnsi="Times" w:cs="Times"/>
      <w:smallCaps/>
      <w:color w:val="000000"/>
      <w:sz w:val="18"/>
      <w:szCs w:val="18"/>
    </w:rPr>
  </w:style>
  <w:style w:type="paragraph" w:styleId="Titolo3">
    <w:name w:val="heading 3"/>
    <w:basedOn w:val="Normale"/>
    <w:next w:val="Normale"/>
    <w:uiPriority w:val="9"/>
    <w:semiHidden/>
    <w:unhideWhenUsed/>
    <w:qFormat/>
    <w:pPr>
      <w:pBdr>
        <w:top w:val="nil"/>
        <w:left w:val="nil"/>
        <w:bottom w:val="nil"/>
        <w:right w:val="nil"/>
        <w:between w:val="nil"/>
      </w:pBdr>
      <w:spacing w:before="240" w:after="120" w:line="240" w:lineRule="auto"/>
      <w:outlineLvl w:val="2"/>
    </w:pPr>
    <w:rPr>
      <w:rFonts w:ascii="Times" w:eastAsia="Times" w:hAnsi="Times" w:cs="Times"/>
      <w:i/>
      <w:iCs/>
      <w:smallCaps/>
      <w:color w:val="000000"/>
      <w:sz w:val="18"/>
      <w:szCs w:val="1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paragraph" w:styleId="Testonotaapidipagina">
    <w:name w:val="footnote text"/>
    <w:basedOn w:val="Normale"/>
    <w:link w:val="TestonotaapidipaginaCarattere"/>
    <w:uiPriority w:val="99"/>
    <w:semiHidden/>
    <w:unhideWhenUsed/>
    <w:rsid w:val="00B72143"/>
    <w:pPr>
      <w:spacing w:line="240" w:lineRule="auto"/>
    </w:pPr>
  </w:style>
  <w:style w:type="character" w:customStyle="1" w:styleId="TestonotaapidipaginaCarattere">
    <w:name w:val="Testo nota a piè di pagina Carattere"/>
    <w:basedOn w:val="Carpredefinitoparagrafo"/>
    <w:link w:val="Testonotaapidipagina"/>
    <w:uiPriority w:val="99"/>
    <w:semiHidden/>
    <w:rsid w:val="00B72143"/>
  </w:style>
  <w:style w:type="character" w:styleId="Rimandonotaapidipagina">
    <w:name w:val="footnote reference"/>
    <w:basedOn w:val="Carpredefinitoparagrafo"/>
    <w:uiPriority w:val="99"/>
    <w:semiHidden/>
    <w:unhideWhenUsed/>
    <w:rsid w:val="00B72143"/>
    <w:rPr>
      <w:vertAlign w:val="superscript"/>
    </w:rPr>
  </w:style>
  <w:style w:type="character" w:styleId="Collegamentoipertestuale">
    <w:name w:val="Hyperlink"/>
    <w:basedOn w:val="Carpredefinitoparagrafo"/>
    <w:uiPriority w:val="99"/>
    <w:unhideWhenUsed/>
    <w:rsid w:val="00104B69"/>
    <w:rPr>
      <w:color w:val="0000FF" w:themeColor="hyperlink"/>
      <w:u w:val="single"/>
    </w:rPr>
  </w:style>
  <w:style w:type="character" w:styleId="Menzionenonrisolta">
    <w:name w:val="Unresolved Mention"/>
    <w:basedOn w:val="Carpredefinitoparagrafo"/>
    <w:uiPriority w:val="99"/>
    <w:semiHidden/>
    <w:unhideWhenUsed/>
    <w:rsid w:val="00104B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michele-sorice-francesca-pasquali-gabriele-balbi/studiare-i-media-prospettive-disciplinari-e-parole-chiave-9788829029099-746159.html" TargetMode="External"/><Relationship Id="rId3" Type="http://schemas.openxmlformats.org/officeDocument/2006/relationships/settings" Target="settings.xml"/><Relationship Id="rId7" Type="http://schemas.openxmlformats.org/officeDocument/2006/relationships/hyperlink" Target="https://librerie.unicatt.it/scheda-libro/giuseppe-anzera-alessandra-massa/media-digitali-e-relazioni-internazionali-tecnologie-potere-e-conflitti-nellera-delle-piattaforme-online-9788881074501-3957117.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2C2678-726F-4E89-A7B8-99126D6D22FF}">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Template>
  <TotalTime>28</TotalTime>
  <Pages>3</Pages>
  <Words>894</Words>
  <Characters>5098</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Grassi Monica Barbara</dc:creator>
  <cp:lastModifiedBy>Caputo Chiara</cp:lastModifiedBy>
  <cp:revision>6</cp:revision>
  <dcterms:created xsi:type="dcterms:W3CDTF">2026-06-19T12:34:00Z</dcterms:created>
  <dcterms:modified xsi:type="dcterms:W3CDTF">2026-09-01T10:54:00Z</dcterms:modified>
</cp:coreProperties>
</file>