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05464" w14:textId="0170C9B7" w:rsidR="00605C49" w:rsidRPr="00F37A38" w:rsidRDefault="00605C49" w:rsidP="00071B9E">
      <w:pPr>
        <w:spacing w:line="240" w:lineRule="auto"/>
        <w:rPr>
          <w:b/>
          <w:bCs/>
          <w:sz w:val="20"/>
          <w:szCs w:val="20"/>
        </w:rPr>
      </w:pPr>
      <w:r w:rsidRPr="00F37A38">
        <w:rPr>
          <w:b/>
          <w:bCs/>
          <w:sz w:val="20"/>
          <w:szCs w:val="20"/>
        </w:rPr>
        <w:t>Storia bizantina</w:t>
      </w:r>
    </w:p>
    <w:p w14:paraId="1B0B8B8A" w14:textId="5EF71E70" w:rsidR="00605C49" w:rsidRPr="00F37A38" w:rsidRDefault="00605C49" w:rsidP="00071B9E">
      <w:pPr>
        <w:spacing w:line="240" w:lineRule="auto"/>
        <w:rPr>
          <w:smallCaps/>
          <w:sz w:val="18"/>
          <w:szCs w:val="24"/>
        </w:rPr>
      </w:pPr>
      <w:r w:rsidRPr="00F37A38">
        <w:rPr>
          <w:smallCaps/>
          <w:sz w:val="18"/>
          <w:szCs w:val="24"/>
        </w:rPr>
        <w:t>Prof. Salvatore Cosentino</w:t>
      </w:r>
    </w:p>
    <w:p w14:paraId="3FF96385" w14:textId="77777777" w:rsidR="00F37A38" w:rsidRDefault="00F37A38" w:rsidP="00F37A38">
      <w:pPr>
        <w:spacing w:before="240" w:after="120"/>
        <w:rPr>
          <w:b/>
          <w:sz w:val="18"/>
        </w:rPr>
      </w:pPr>
      <w:r>
        <w:rPr>
          <w:b/>
          <w:i/>
          <w:sz w:val="18"/>
        </w:rPr>
        <w:t>OBIETTIVO DEL CORSO E RISULTATI DI APPRENDIMENTO ATTESI</w:t>
      </w:r>
    </w:p>
    <w:p w14:paraId="0AE85A9F" w14:textId="77777777" w:rsidR="00605C49" w:rsidRPr="00F37A38" w:rsidRDefault="00605C49" w:rsidP="00071B9E">
      <w:pPr>
        <w:spacing w:line="240" w:lineRule="auto"/>
        <w:rPr>
          <w:color w:val="333333"/>
          <w:sz w:val="20"/>
          <w:szCs w:val="20"/>
          <w:shd w:val="clear" w:color="auto" w:fill="FFFFFF"/>
        </w:rPr>
      </w:pPr>
      <w:r w:rsidRPr="00F37A38">
        <w:rPr>
          <w:color w:val="333333"/>
          <w:sz w:val="20"/>
          <w:szCs w:val="20"/>
          <w:shd w:val="clear" w:color="auto" w:fill="FFFFFF"/>
        </w:rPr>
        <w:t>Il corso mira ad introdurre lo studente alla conoscenza della storia bizantina nella sua tradizionale cronologia dalla fondazione di Costantinopoli alla presa della Città (324-1453). Particolare attenzione sarà prestata, in considerazione dei contenuti della LM 15 ‘Scienze dell’Antichità’, ai secoli della sua trasformazione da società antica a società pienamente medievale.</w:t>
      </w:r>
    </w:p>
    <w:p w14:paraId="22BBDC8D" w14:textId="77777777" w:rsidR="00605C49" w:rsidRPr="00F37A38" w:rsidRDefault="00605C49" w:rsidP="00071B9E">
      <w:pPr>
        <w:spacing w:line="240" w:lineRule="auto"/>
        <w:rPr>
          <w:b/>
          <w:bCs/>
          <w:color w:val="333333"/>
          <w:sz w:val="20"/>
          <w:szCs w:val="20"/>
          <w:shd w:val="clear" w:color="auto" w:fill="FFFFFF"/>
        </w:rPr>
      </w:pPr>
      <w:r w:rsidRPr="00F37A38">
        <w:rPr>
          <w:b/>
          <w:bCs/>
          <w:color w:val="333333"/>
          <w:sz w:val="20"/>
          <w:szCs w:val="20"/>
          <w:shd w:val="clear" w:color="auto" w:fill="FFFFFF"/>
        </w:rPr>
        <w:t>Risultati di apprendimento attesi</w:t>
      </w:r>
    </w:p>
    <w:p w14:paraId="1C08DBC0" w14:textId="4A399124" w:rsidR="00605C49" w:rsidRPr="00F37A38" w:rsidRDefault="00605C49" w:rsidP="00071B9E">
      <w:pPr>
        <w:spacing w:line="240" w:lineRule="auto"/>
        <w:rPr>
          <w:color w:val="333333"/>
          <w:sz w:val="20"/>
          <w:szCs w:val="20"/>
          <w:shd w:val="clear" w:color="auto" w:fill="FFFFFF"/>
        </w:rPr>
      </w:pPr>
      <w:r w:rsidRPr="00F37A38">
        <w:rPr>
          <w:color w:val="333333"/>
          <w:sz w:val="20"/>
          <w:szCs w:val="20"/>
          <w:shd w:val="clear" w:color="auto" w:fill="FFFFFF"/>
        </w:rPr>
        <w:t>Alla fine del corso lo studente sarà in grado di conoscere i caratteri costitutivi della civiltà bizantina nonché il ruolo svolto da essa nella formazione storica dell’Europa medievale e moderna, nelle sue interazioni con il mondo medievale latino, musulmano e slavo. Egli sarà in grado, inoltre, di comprendere le principali definizioni del vocabolario storico del mondo bizantino.</w:t>
      </w:r>
    </w:p>
    <w:p w14:paraId="4FAED75F" w14:textId="77777777" w:rsidR="00F37A38" w:rsidRDefault="00F37A38" w:rsidP="00F37A38">
      <w:pPr>
        <w:spacing w:before="240" w:after="120"/>
        <w:rPr>
          <w:b/>
          <w:sz w:val="18"/>
        </w:rPr>
      </w:pPr>
      <w:r>
        <w:rPr>
          <w:b/>
          <w:i/>
          <w:sz w:val="18"/>
        </w:rPr>
        <w:t>PROGRAMMA DEL CORSO</w:t>
      </w:r>
    </w:p>
    <w:p w14:paraId="2A0FE1AE" w14:textId="77777777" w:rsidR="004A07EF" w:rsidRPr="00F37A38" w:rsidRDefault="004A07EF" w:rsidP="00071B9E">
      <w:pPr>
        <w:spacing w:line="240" w:lineRule="auto"/>
        <w:rPr>
          <w:sz w:val="20"/>
          <w:szCs w:val="20"/>
        </w:rPr>
      </w:pPr>
      <w:r w:rsidRPr="00F37A38">
        <w:rPr>
          <w:sz w:val="20"/>
          <w:szCs w:val="20"/>
        </w:rPr>
        <w:t xml:space="preserve">Titolo del corso: </w:t>
      </w:r>
      <w:r w:rsidRPr="00F37A38">
        <w:rPr>
          <w:i/>
          <w:iCs/>
          <w:sz w:val="20"/>
          <w:szCs w:val="20"/>
        </w:rPr>
        <w:t>Gli eunuchi nel mondo bizantino. Ascesa, fasti e caduta di Giovanni Orfanotrofo (XI secolo)</w:t>
      </w:r>
    </w:p>
    <w:p w14:paraId="59D695DB" w14:textId="4BC9B988" w:rsidR="004A07EF" w:rsidRPr="00F37A38" w:rsidRDefault="004A07EF" w:rsidP="00071B9E">
      <w:pPr>
        <w:spacing w:line="240" w:lineRule="auto"/>
        <w:rPr>
          <w:sz w:val="20"/>
          <w:szCs w:val="20"/>
        </w:rPr>
      </w:pPr>
      <w:r w:rsidRPr="00F37A38">
        <w:rPr>
          <w:sz w:val="20"/>
          <w:szCs w:val="20"/>
        </w:rPr>
        <w:t xml:space="preserve">Il mondo bizantino riservò un ruolo importante agli eunuchi nell’amministrazione civile, nell’esercito così come nell’alto clero. La loro presenza </w:t>
      </w:r>
      <w:r w:rsidR="00C03E62" w:rsidRPr="00F37A38">
        <w:rPr>
          <w:sz w:val="20"/>
          <w:szCs w:val="20"/>
        </w:rPr>
        <w:t>n</w:t>
      </w:r>
      <w:r w:rsidRPr="00F37A38">
        <w:rPr>
          <w:sz w:val="20"/>
          <w:szCs w:val="20"/>
        </w:rPr>
        <w:t xml:space="preserve">ei gangli vitali della società si accrebbe partendo dalla fine del IV secolo, raggiungendo il suo apice nel corso dell’XI secolo. Proprio a questo periodo appartiene una delle figure più influenti di eunuco di corte, Giovanni Orfanotrofo, che arrivò a porre sul trono il proprio fratello Michele IV (1034-1041) e a favorire l’ascesa del proprio nipote, Michele V (1041-1042). Il corso, dopo una introduzione sulla presenza e il ruolo degli eunuchi a Bisanzio, che costituirà anche l’occasione per trattare di aspetti più generali della civiltà bizantina, si concentrerà sulla figura di Giovanni Orfanotrofo, analizzata soprattutto attraverso il ritratto che diede di lui Michele Psello nei libri IV e V della sua </w:t>
      </w:r>
      <w:proofErr w:type="spellStart"/>
      <w:r w:rsidRPr="00F37A38">
        <w:rPr>
          <w:i/>
          <w:iCs/>
          <w:sz w:val="20"/>
          <w:szCs w:val="20"/>
        </w:rPr>
        <w:t>Chronographia</w:t>
      </w:r>
      <w:proofErr w:type="spellEnd"/>
      <w:r w:rsidRPr="00F37A38">
        <w:rPr>
          <w:sz w:val="20"/>
          <w:szCs w:val="20"/>
        </w:rPr>
        <w:t xml:space="preserve">. </w:t>
      </w:r>
    </w:p>
    <w:p w14:paraId="7EBFD068" w14:textId="7A1718B6" w:rsidR="00F37A38" w:rsidRDefault="00F37A38" w:rsidP="00F37A38">
      <w:pPr>
        <w:keepNext/>
        <w:spacing w:before="240" w:after="120"/>
        <w:rPr>
          <w:b/>
          <w:sz w:val="18"/>
        </w:rPr>
      </w:pPr>
      <w:r>
        <w:rPr>
          <w:b/>
          <w:i/>
          <w:sz w:val="18"/>
        </w:rPr>
        <w:t>BIBLIOGRAFIA</w:t>
      </w:r>
      <w:r w:rsidR="007A7C2F">
        <w:rPr>
          <w:rStyle w:val="Rimandonotaapidipagina"/>
          <w:b/>
          <w:i/>
          <w:sz w:val="18"/>
        </w:rPr>
        <w:footnoteReference w:id="1"/>
      </w:r>
    </w:p>
    <w:p w14:paraId="697AA514" w14:textId="012C72D7" w:rsidR="00704B5A" w:rsidRPr="00F37A38" w:rsidRDefault="00C03E62" w:rsidP="00071B9E">
      <w:pPr>
        <w:spacing w:line="240" w:lineRule="auto"/>
        <w:rPr>
          <w:sz w:val="18"/>
          <w:szCs w:val="18"/>
        </w:rPr>
      </w:pPr>
      <w:r w:rsidRPr="00F37A38">
        <w:rPr>
          <w:sz w:val="18"/>
          <w:szCs w:val="18"/>
        </w:rPr>
        <w:t xml:space="preserve">Si richiede la </w:t>
      </w:r>
      <w:r w:rsidR="0009347D" w:rsidRPr="00F37A38">
        <w:rPr>
          <w:sz w:val="18"/>
          <w:szCs w:val="18"/>
        </w:rPr>
        <w:t>le</w:t>
      </w:r>
      <w:r w:rsidRPr="00F37A38">
        <w:rPr>
          <w:sz w:val="18"/>
          <w:szCs w:val="18"/>
        </w:rPr>
        <w:t>ttura di:</w:t>
      </w:r>
      <w:r w:rsidR="00E053F7" w:rsidRPr="00F37A38">
        <w:rPr>
          <w:sz w:val="18"/>
          <w:szCs w:val="18"/>
        </w:rPr>
        <w:t xml:space="preserve"> </w:t>
      </w:r>
    </w:p>
    <w:p w14:paraId="4C711568" w14:textId="0E0B5622" w:rsidR="0009347D" w:rsidRPr="00F37A38" w:rsidRDefault="0009347D" w:rsidP="00071B9E">
      <w:pPr>
        <w:spacing w:line="240" w:lineRule="auto"/>
        <w:rPr>
          <w:sz w:val="18"/>
          <w:szCs w:val="18"/>
        </w:rPr>
      </w:pPr>
      <w:r w:rsidRPr="00F37A38">
        <w:rPr>
          <w:sz w:val="18"/>
          <w:szCs w:val="18"/>
        </w:rPr>
        <w:t xml:space="preserve">― G. Ostrogorsky, </w:t>
      </w:r>
      <w:r w:rsidRPr="00F37A38">
        <w:rPr>
          <w:i/>
          <w:iCs/>
          <w:sz w:val="18"/>
          <w:szCs w:val="18"/>
        </w:rPr>
        <w:t>Storia dell’impero bizantino</w:t>
      </w:r>
      <w:r w:rsidRPr="00F37A38">
        <w:rPr>
          <w:sz w:val="18"/>
          <w:szCs w:val="18"/>
        </w:rPr>
        <w:t xml:space="preserve">, trad. </w:t>
      </w:r>
      <w:proofErr w:type="spellStart"/>
      <w:r w:rsidRPr="00F37A38">
        <w:rPr>
          <w:sz w:val="18"/>
          <w:szCs w:val="18"/>
        </w:rPr>
        <w:t>it</w:t>
      </w:r>
      <w:proofErr w:type="spellEnd"/>
      <w:r w:rsidRPr="00F37A38">
        <w:rPr>
          <w:sz w:val="18"/>
          <w:szCs w:val="18"/>
        </w:rPr>
        <w:t>. Torino 1968 (o edizioni successive).</w:t>
      </w:r>
      <w:r w:rsidR="007A7C2F" w:rsidRPr="007A7C2F">
        <w:t xml:space="preserve"> </w:t>
      </w:r>
      <w:hyperlink r:id="rId7" w:history="1">
        <w:r w:rsidR="007A7C2F" w:rsidRPr="007A7C2F">
          <w:rPr>
            <w:rStyle w:val="Collegamentoipertestuale"/>
            <w:sz w:val="18"/>
            <w:szCs w:val="18"/>
          </w:rPr>
          <w:t>Acquista da VP</w:t>
        </w:r>
      </w:hyperlink>
    </w:p>
    <w:p w14:paraId="5C4B5241" w14:textId="77777777" w:rsidR="0009347D" w:rsidRPr="00F37A38" w:rsidRDefault="0009347D" w:rsidP="00071B9E">
      <w:pPr>
        <w:spacing w:line="240" w:lineRule="auto"/>
        <w:rPr>
          <w:sz w:val="18"/>
          <w:szCs w:val="18"/>
        </w:rPr>
      </w:pPr>
      <w:r w:rsidRPr="00F37A38">
        <w:rPr>
          <w:sz w:val="18"/>
          <w:szCs w:val="18"/>
        </w:rPr>
        <w:t xml:space="preserve">― M.D. Spadaro, “Gli eunuchi nell'impero bizantino”, in </w:t>
      </w:r>
      <w:r w:rsidRPr="00F37A38">
        <w:rPr>
          <w:i/>
          <w:iCs/>
          <w:sz w:val="18"/>
          <w:szCs w:val="18"/>
        </w:rPr>
        <w:t>Comportamenti e immaginario della sessualità nell'Alto Medioevo</w:t>
      </w:r>
      <w:r w:rsidRPr="00F37A38">
        <w:rPr>
          <w:sz w:val="18"/>
          <w:szCs w:val="18"/>
        </w:rPr>
        <w:t>, Spoleto, 2006, pp. 535-566.</w:t>
      </w:r>
    </w:p>
    <w:p w14:paraId="11D6FDDC" w14:textId="76B3439D" w:rsidR="0009347D" w:rsidRPr="00F37A38" w:rsidRDefault="0009347D" w:rsidP="00071B9E">
      <w:pPr>
        <w:spacing w:line="240" w:lineRule="auto"/>
        <w:rPr>
          <w:sz w:val="18"/>
          <w:szCs w:val="18"/>
        </w:rPr>
      </w:pPr>
      <w:r w:rsidRPr="00F37A38">
        <w:rPr>
          <w:sz w:val="18"/>
          <w:szCs w:val="18"/>
        </w:rPr>
        <w:t xml:space="preserve">― Marzio Barbagli, </w:t>
      </w:r>
      <w:r w:rsidRPr="00F37A38">
        <w:rPr>
          <w:i/>
          <w:iCs/>
          <w:sz w:val="18"/>
          <w:szCs w:val="18"/>
        </w:rPr>
        <w:t>Uomini senza. Storia degli eunuchi e del declino della violenza</w:t>
      </w:r>
      <w:r w:rsidRPr="00F37A38">
        <w:rPr>
          <w:sz w:val="18"/>
          <w:szCs w:val="18"/>
        </w:rPr>
        <w:t>, Bologna 2023, pp. 71-170.</w:t>
      </w:r>
      <w:r w:rsidR="007A7C2F" w:rsidRPr="007A7C2F">
        <w:t xml:space="preserve"> </w:t>
      </w:r>
      <w:hyperlink r:id="rId8" w:history="1">
        <w:r w:rsidR="007A7C2F" w:rsidRPr="007A7C2F">
          <w:rPr>
            <w:rStyle w:val="Collegamentoipertestuale"/>
            <w:sz w:val="18"/>
            <w:szCs w:val="18"/>
          </w:rPr>
          <w:t>Acquista da VP</w:t>
        </w:r>
      </w:hyperlink>
    </w:p>
    <w:p w14:paraId="7FD5ADDF" w14:textId="77777777" w:rsidR="0009347D" w:rsidRPr="00F37A38" w:rsidRDefault="0009347D" w:rsidP="00071B9E">
      <w:pPr>
        <w:spacing w:line="240" w:lineRule="auto"/>
        <w:rPr>
          <w:sz w:val="18"/>
          <w:szCs w:val="18"/>
        </w:rPr>
      </w:pPr>
    </w:p>
    <w:p w14:paraId="437C32C2" w14:textId="77777777" w:rsidR="0009347D" w:rsidRPr="00F37A38" w:rsidRDefault="0009347D" w:rsidP="00071B9E">
      <w:pPr>
        <w:spacing w:line="240" w:lineRule="auto"/>
        <w:rPr>
          <w:sz w:val="18"/>
          <w:szCs w:val="18"/>
        </w:rPr>
      </w:pPr>
      <w:r w:rsidRPr="00F37A38">
        <w:rPr>
          <w:sz w:val="18"/>
          <w:szCs w:val="18"/>
        </w:rPr>
        <w:t xml:space="preserve">P.S. Michele Psello sarà letto e commentato nella seguente edizione: Michele Psello, </w:t>
      </w:r>
      <w:r w:rsidRPr="00F37A38">
        <w:rPr>
          <w:i/>
          <w:iCs/>
          <w:sz w:val="18"/>
          <w:szCs w:val="18"/>
        </w:rPr>
        <w:t>Imperatori di Bisanzio (Cronografia)</w:t>
      </w:r>
      <w:r w:rsidRPr="00F37A38">
        <w:rPr>
          <w:sz w:val="18"/>
          <w:szCs w:val="18"/>
        </w:rPr>
        <w:t>, vol. I (Libri I-VI 75), Introduzione di Dario Del Corno, Testo critico a cura di Salvatore Impellizzeri, Commento di Ugo Criscuolo, Traduzione di Silvia Ronchey, Scrittori greci e latini, Fondazione Lorenzo Valla, Milano 1984, pp. 114-225 (regni di Michele IV e di Michele V).</w:t>
      </w:r>
    </w:p>
    <w:p w14:paraId="79F30D73" w14:textId="77777777" w:rsidR="00505999" w:rsidRPr="00F37A38" w:rsidRDefault="00505999" w:rsidP="00071B9E">
      <w:pPr>
        <w:spacing w:line="240" w:lineRule="auto"/>
        <w:rPr>
          <w:sz w:val="18"/>
          <w:szCs w:val="18"/>
        </w:rPr>
      </w:pPr>
    </w:p>
    <w:p w14:paraId="43D18C36" w14:textId="3E57ADC7" w:rsidR="00704B5A" w:rsidRPr="00F37A38" w:rsidRDefault="00B87919" w:rsidP="00071B9E">
      <w:pPr>
        <w:spacing w:line="240" w:lineRule="auto"/>
        <w:rPr>
          <w:sz w:val="18"/>
          <w:szCs w:val="18"/>
        </w:rPr>
      </w:pPr>
      <w:r w:rsidRPr="00F37A38">
        <w:rPr>
          <w:sz w:val="18"/>
          <w:szCs w:val="18"/>
        </w:rPr>
        <w:t xml:space="preserve">― </w:t>
      </w:r>
      <w:r w:rsidR="00605C49" w:rsidRPr="00F37A38">
        <w:rPr>
          <w:sz w:val="18"/>
          <w:szCs w:val="18"/>
        </w:rPr>
        <w:t>Per i non frequentanti, oltre alla bibliografia citata, si consiglia la lettura di:</w:t>
      </w:r>
      <w:r w:rsidR="00704B5A" w:rsidRPr="00F37A38">
        <w:rPr>
          <w:sz w:val="18"/>
          <w:szCs w:val="18"/>
        </w:rPr>
        <w:t xml:space="preserve"> </w:t>
      </w:r>
    </w:p>
    <w:p w14:paraId="0FCF44C9" w14:textId="211BD545" w:rsidR="00704B5A" w:rsidRPr="00F37A38" w:rsidRDefault="00704B5A" w:rsidP="00071B9E">
      <w:pPr>
        <w:spacing w:line="240" w:lineRule="auto"/>
        <w:rPr>
          <w:sz w:val="18"/>
          <w:szCs w:val="18"/>
        </w:rPr>
      </w:pPr>
      <w:r w:rsidRPr="00F37A38">
        <w:rPr>
          <w:sz w:val="18"/>
          <w:szCs w:val="18"/>
        </w:rPr>
        <w:t xml:space="preserve">Guglielmo Cavallo (a cura), </w:t>
      </w:r>
      <w:r w:rsidRPr="00F37A38">
        <w:rPr>
          <w:i/>
          <w:iCs/>
          <w:sz w:val="18"/>
          <w:szCs w:val="18"/>
        </w:rPr>
        <w:t>L’uomo bizantino</w:t>
      </w:r>
      <w:r w:rsidRPr="00F37A38">
        <w:rPr>
          <w:sz w:val="18"/>
          <w:szCs w:val="18"/>
        </w:rPr>
        <w:t>, Roma-Bari 1992.</w:t>
      </w:r>
    </w:p>
    <w:p w14:paraId="4364C2ED" w14:textId="77777777" w:rsidR="00F37A38" w:rsidRDefault="00F37A38" w:rsidP="00F37A38">
      <w:pPr>
        <w:spacing w:before="240" w:after="120"/>
        <w:rPr>
          <w:b/>
          <w:i/>
          <w:sz w:val="18"/>
        </w:rPr>
      </w:pPr>
      <w:r>
        <w:rPr>
          <w:b/>
          <w:i/>
          <w:sz w:val="18"/>
        </w:rPr>
        <w:t>DIDATTICA DEL CORSO</w:t>
      </w:r>
    </w:p>
    <w:p w14:paraId="0448FA1E" w14:textId="627AD3B4" w:rsidR="00605C49" w:rsidRPr="00F37A38" w:rsidRDefault="0009347D" w:rsidP="00071B9E">
      <w:pPr>
        <w:spacing w:line="240" w:lineRule="auto"/>
        <w:rPr>
          <w:sz w:val="18"/>
          <w:szCs w:val="18"/>
        </w:rPr>
      </w:pPr>
      <w:r w:rsidRPr="00F37A38">
        <w:rPr>
          <w:sz w:val="18"/>
          <w:szCs w:val="18"/>
        </w:rPr>
        <w:t xml:space="preserve">La prima parte del corso (14 ore) è concepita come una serie di lezioni tradizionali in cui il docente esporrà, con l’ausilio di immagini in ppt, gli aspetti più generali del tema del corso. Nella seconda parte (16 ore), oltre a trattare di metodologia della ricerca, lessico e concetti della storia, il docente leggerà e analizzerà brani del libro IV e V della </w:t>
      </w:r>
      <w:proofErr w:type="spellStart"/>
      <w:r w:rsidRPr="00F37A38">
        <w:rPr>
          <w:i/>
          <w:iCs/>
          <w:sz w:val="18"/>
          <w:szCs w:val="18"/>
        </w:rPr>
        <w:t>Chronographia</w:t>
      </w:r>
      <w:proofErr w:type="spellEnd"/>
      <w:r w:rsidRPr="00F37A38">
        <w:rPr>
          <w:sz w:val="18"/>
          <w:szCs w:val="18"/>
        </w:rPr>
        <w:t xml:space="preserve"> di Michele Psello in relazione a Giovanni Orfanotrofo, cercando di stimolare l’attenzione degli studenti verso l’importanza delle fonti primarie nella ricerca storica. I brani della </w:t>
      </w:r>
      <w:r w:rsidRPr="00F37A38">
        <w:rPr>
          <w:i/>
          <w:iCs/>
          <w:sz w:val="18"/>
          <w:szCs w:val="18"/>
        </w:rPr>
        <w:t>Cronografi</w:t>
      </w:r>
      <w:r w:rsidRPr="00F37A38">
        <w:rPr>
          <w:sz w:val="18"/>
          <w:szCs w:val="18"/>
        </w:rPr>
        <w:t>a oggetto di interesse saranno distribuiti durante le lezioni.</w:t>
      </w:r>
    </w:p>
    <w:p w14:paraId="2FC4C990" w14:textId="77777777" w:rsidR="00F37A38" w:rsidRDefault="00F37A38" w:rsidP="00F37A38">
      <w:pPr>
        <w:spacing w:before="240" w:after="120"/>
        <w:rPr>
          <w:b/>
          <w:i/>
          <w:sz w:val="18"/>
        </w:rPr>
      </w:pPr>
      <w:r>
        <w:rPr>
          <w:b/>
          <w:i/>
          <w:sz w:val="18"/>
        </w:rPr>
        <w:t>METODO E CRITERI DI VALUTAZIONE</w:t>
      </w:r>
    </w:p>
    <w:p w14:paraId="3F34E49C" w14:textId="69A4FA3F" w:rsidR="00605C49" w:rsidRPr="00F37A38" w:rsidRDefault="00605C49" w:rsidP="00071B9E">
      <w:pPr>
        <w:autoSpaceDE w:val="0"/>
        <w:autoSpaceDN w:val="0"/>
        <w:adjustRightInd w:val="0"/>
        <w:spacing w:line="240" w:lineRule="auto"/>
        <w:rPr>
          <w:sz w:val="18"/>
          <w:szCs w:val="18"/>
        </w:rPr>
      </w:pPr>
      <w:r w:rsidRPr="00F37A38">
        <w:rPr>
          <w:sz w:val="18"/>
          <w:szCs w:val="18"/>
        </w:rPr>
        <w:t>La valutazione consiste in un esame orale volto ad accertare l</w:t>
      </w:r>
      <w:r w:rsidR="00A65CF4" w:rsidRPr="00F37A38">
        <w:rPr>
          <w:sz w:val="18"/>
          <w:szCs w:val="18"/>
        </w:rPr>
        <w:t>a conoscenza</w:t>
      </w:r>
      <w:r w:rsidRPr="00F37A38">
        <w:rPr>
          <w:sz w:val="18"/>
          <w:szCs w:val="18"/>
        </w:rPr>
        <w:t xml:space="preserve"> da parte degli studenti delle nozioni trasmesse durante il corso. </w:t>
      </w:r>
      <w:r w:rsidR="00A65CF4" w:rsidRPr="00F37A38">
        <w:rPr>
          <w:sz w:val="18"/>
          <w:szCs w:val="18"/>
        </w:rPr>
        <w:t xml:space="preserve">Per </w:t>
      </w:r>
      <w:r w:rsidRPr="00F37A38">
        <w:rPr>
          <w:sz w:val="18"/>
          <w:szCs w:val="18"/>
        </w:rPr>
        <w:t>la formulazione del giudizio finale concorreranno la pertinenza delle risposte, l’uso appropriato della terminologica tecnica relativa al corso, l’argomentazione logica e coerente del discorso, nonché la capacità di mostrare un sapere ‘critico’</w:t>
      </w:r>
      <w:r w:rsidR="00A65CF4" w:rsidRPr="00F37A38">
        <w:rPr>
          <w:sz w:val="18"/>
          <w:szCs w:val="18"/>
        </w:rPr>
        <w:t>,</w:t>
      </w:r>
      <w:r w:rsidRPr="00F37A38">
        <w:rPr>
          <w:sz w:val="18"/>
          <w:szCs w:val="18"/>
        </w:rPr>
        <w:t xml:space="preserve"> ovvero di individuare nessi, somiglianze e differenze tra i fenomeni storici.</w:t>
      </w:r>
    </w:p>
    <w:p w14:paraId="30C3B09F" w14:textId="77777777" w:rsidR="00F37A38" w:rsidRDefault="00F37A38" w:rsidP="00F37A38">
      <w:pPr>
        <w:spacing w:before="240" w:after="120"/>
        <w:rPr>
          <w:b/>
          <w:i/>
          <w:sz w:val="18"/>
        </w:rPr>
      </w:pPr>
      <w:r>
        <w:rPr>
          <w:b/>
          <w:i/>
          <w:sz w:val="18"/>
        </w:rPr>
        <w:t>AVVERTENZE E PREREQUISITI</w:t>
      </w:r>
    </w:p>
    <w:p w14:paraId="6BBA5BE4" w14:textId="431C5D4D" w:rsidR="00605C49" w:rsidRPr="00F37A38" w:rsidRDefault="00605C49" w:rsidP="00071B9E">
      <w:pPr>
        <w:spacing w:line="240" w:lineRule="auto"/>
        <w:rPr>
          <w:sz w:val="18"/>
          <w:szCs w:val="18"/>
        </w:rPr>
      </w:pPr>
      <w:r w:rsidRPr="00F37A38">
        <w:rPr>
          <w:sz w:val="18"/>
          <w:szCs w:val="18"/>
        </w:rPr>
        <w:t xml:space="preserve">La frequenza al corso, sebbene non obbligatoria, è fortemente consigliata soprattutto in relazione al lavoro seminariale che si svolgerà sulle fonti </w:t>
      </w:r>
      <w:r w:rsidR="00915897" w:rsidRPr="00F37A38">
        <w:rPr>
          <w:sz w:val="18"/>
          <w:szCs w:val="18"/>
        </w:rPr>
        <w:t>durante la parte monografica</w:t>
      </w:r>
      <w:r w:rsidRPr="00F37A38">
        <w:rPr>
          <w:sz w:val="18"/>
          <w:szCs w:val="18"/>
        </w:rPr>
        <w:t xml:space="preserve">. Prerequisito suggerito per la frequentazione del corso è la conoscenza, anche minima del greco, </w:t>
      </w:r>
      <w:r w:rsidR="00A65CF4" w:rsidRPr="00F37A38">
        <w:rPr>
          <w:sz w:val="18"/>
          <w:szCs w:val="18"/>
        </w:rPr>
        <w:t xml:space="preserve">nonché </w:t>
      </w:r>
      <w:r w:rsidRPr="00F37A38">
        <w:rPr>
          <w:sz w:val="18"/>
          <w:szCs w:val="18"/>
        </w:rPr>
        <w:t>l’avere frequentato le lezioni di filologia bizantina.</w:t>
      </w:r>
    </w:p>
    <w:p w14:paraId="067B6BA0" w14:textId="77777777" w:rsidR="00605C49" w:rsidRPr="00F37A38" w:rsidRDefault="00605C49" w:rsidP="00F37A38">
      <w:pPr>
        <w:spacing w:before="120" w:line="240" w:lineRule="auto"/>
        <w:rPr>
          <w:i/>
          <w:iCs/>
          <w:sz w:val="18"/>
          <w:szCs w:val="18"/>
        </w:rPr>
      </w:pPr>
      <w:r w:rsidRPr="00F37A38">
        <w:rPr>
          <w:i/>
          <w:iCs/>
          <w:sz w:val="18"/>
          <w:szCs w:val="18"/>
        </w:rPr>
        <w:lastRenderedPageBreak/>
        <w:t>Orario e luogo di ricevimento</w:t>
      </w:r>
    </w:p>
    <w:p w14:paraId="72DD80D0" w14:textId="429A0C86" w:rsidR="00F83BC4" w:rsidRPr="00F37A38" w:rsidRDefault="00605C49" w:rsidP="00071B9E">
      <w:pPr>
        <w:spacing w:line="240" w:lineRule="auto"/>
        <w:rPr>
          <w:sz w:val="18"/>
          <w:szCs w:val="18"/>
        </w:rPr>
      </w:pPr>
      <w:r w:rsidRPr="00F37A38">
        <w:rPr>
          <w:sz w:val="18"/>
          <w:szCs w:val="18"/>
        </w:rPr>
        <w:t xml:space="preserve">Il docente riceve gli studenti il lunedì, dalle 13,30 alle 14,30, prima dell’inizio della lezione, previa richiesta di appuntamento via mail. In alternativa, il colloquio </w:t>
      </w:r>
      <w:r w:rsidR="00A65CF4" w:rsidRPr="00F37A38">
        <w:rPr>
          <w:sz w:val="18"/>
          <w:szCs w:val="18"/>
        </w:rPr>
        <w:t>potrà</w:t>
      </w:r>
      <w:r w:rsidRPr="00F37A38">
        <w:rPr>
          <w:sz w:val="18"/>
          <w:szCs w:val="18"/>
        </w:rPr>
        <w:t xml:space="preserve"> avvenire in modalità TEAMS anche in altri giorni della settimana, sempre previa richiesta di appuntamento via mail</w:t>
      </w:r>
      <w:r w:rsidR="00F83BC4" w:rsidRPr="00F37A38">
        <w:rPr>
          <w:sz w:val="18"/>
          <w:szCs w:val="18"/>
        </w:rPr>
        <w:t xml:space="preserve"> (</w:t>
      </w:r>
      <w:hyperlink r:id="rId9" w:history="1">
        <w:r w:rsidR="00F83BC4" w:rsidRPr="00F37A38">
          <w:rPr>
            <w:rStyle w:val="Collegamentoipertestuale"/>
            <w:sz w:val="18"/>
            <w:szCs w:val="18"/>
          </w:rPr>
          <w:t>salvatore.cosentino1@unicatt.it</w:t>
        </w:r>
      </w:hyperlink>
      <w:r w:rsidR="00F83BC4" w:rsidRPr="00F37A38">
        <w:rPr>
          <w:sz w:val="18"/>
          <w:szCs w:val="18"/>
        </w:rPr>
        <w:t xml:space="preserve">; </w:t>
      </w:r>
      <w:hyperlink r:id="rId10" w:history="1">
        <w:r w:rsidR="00F83BC4" w:rsidRPr="00F37A38">
          <w:rPr>
            <w:rStyle w:val="Collegamentoipertestuale"/>
            <w:sz w:val="18"/>
            <w:szCs w:val="18"/>
          </w:rPr>
          <w:t>salvatore.cosentino@unibo.it</w:t>
        </w:r>
      </w:hyperlink>
      <w:r w:rsidR="0009347D" w:rsidRPr="00F37A38">
        <w:rPr>
          <w:sz w:val="18"/>
          <w:szCs w:val="18"/>
        </w:rPr>
        <w:t>; l’uso di questo secondo indirizzo mail per scrivere al docente è preferibile</w:t>
      </w:r>
      <w:r w:rsidR="00F83BC4" w:rsidRPr="00F37A38">
        <w:rPr>
          <w:sz w:val="18"/>
          <w:szCs w:val="18"/>
        </w:rPr>
        <w:t>)</w:t>
      </w:r>
      <w:r w:rsidR="0009347D" w:rsidRPr="00F37A38">
        <w:rPr>
          <w:sz w:val="18"/>
          <w:szCs w:val="18"/>
        </w:rPr>
        <w:t>.</w:t>
      </w:r>
    </w:p>
    <w:p w14:paraId="47DC979D" w14:textId="5D3D2370" w:rsidR="00605C49" w:rsidRPr="00F37A38" w:rsidRDefault="00605C49" w:rsidP="00071B9E">
      <w:pPr>
        <w:spacing w:line="240" w:lineRule="auto"/>
        <w:rPr>
          <w:sz w:val="18"/>
          <w:szCs w:val="18"/>
        </w:rPr>
      </w:pPr>
    </w:p>
    <w:p w14:paraId="468745F7" w14:textId="77777777" w:rsidR="00145B0C" w:rsidRPr="00F37A38" w:rsidRDefault="00145B0C" w:rsidP="00071B9E">
      <w:pPr>
        <w:spacing w:line="240" w:lineRule="auto"/>
        <w:rPr>
          <w:sz w:val="18"/>
          <w:szCs w:val="18"/>
        </w:rPr>
      </w:pPr>
    </w:p>
    <w:sectPr w:rsidR="00145B0C" w:rsidRPr="00F37A38">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2C774" w14:textId="77777777" w:rsidR="00462954" w:rsidRDefault="00462954" w:rsidP="0092056B">
      <w:pPr>
        <w:spacing w:line="240" w:lineRule="auto"/>
      </w:pPr>
      <w:r>
        <w:separator/>
      </w:r>
    </w:p>
  </w:endnote>
  <w:endnote w:type="continuationSeparator" w:id="0">
    <w:p w14:paraId="789CEB14" w14:textId="77777777" w:rsidR="00462954" w:rsidRDefault="00462954" w:rsidP="009205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502769"/>
      <w:docPartObj>
        <w:docPartGallery w:val="Page Numbers (Bottom of Page)"/>
        <w:docPartUnique/>
      </w:docPartObj>
    </w:sdtPr>
    <w:sdtEndPr/>
    <w:sdtContent>
      <w:p w14:paraId="4967EE60" w14:textId="6D92B02B" w:rsidR="0092056B" w:rsidRDefault="0092056B">
        <w:pPr>
          <w:pStyle w:val="Pidipagina"/>
          <w:jc w:val="center"/>
        </w:pPr>
        <w:r>
          <w:fldChar w:fldCharType="begin"/>
        </w:r>
        <w:r>
          <w:instrText>PAGE   \* MERGEFORMAT</w:instrText>
        </w:r>
        <w:r>
          <w:fldChar w:fldCharType="separate"/>
        </w:r>
        <w:r>
          <w:t>2</w:t>
        </w:r>
        <w:r>
          <w:fldChar w:fldCharType="end"/>
        </w:r>
      </w:p>
    </w:sdtContent>
  </w:sdt>
  <w:p w14:paraId="6F32E9F0" w14:textId="77777777" w:rsidR="0092056B" w:rsidRDefault="009205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2A8AD" w14:textId="77777777" w:rsidR="00462954" w:rsidRDefault="00462954" w:rsidP="0092056B">
      <w:pPr>
        <w:spacing w:line="240" w:lineRule="auto"/>
      </w:pPr>
      <w:r>
        <w:separator/>
      </w:r>
    </w:p>
  </w:footnote>
  <w:footnote w:type="continuationSeparator" w:id="0">
    <w:p w14:paraId="04CE7047" w14:textId="77777777" w:rsidR="00462954" w:rsidRDefault="00462954" w:rsidP="0092056B">
      <w:pPr>
        <w:spacing w:line="240" w:lineRule="auto"/>
      </w:pPr>
      <w:r>
        <w:continuationSeparator/>
      </w:r>
    </w:p>
  </w:footnote>
  <w:footnote w:id="1">
    <w:p w14:paraId="2EE21865" w14:textId="77777777" w:rsidR="007A7C2F" w:rsidRDefault="007A7C2F" w:rsidP="007A7C2F">
      <w:pPr>
        <w:rPr>
          <w:rFonts w:cs="Times New Roman"/>
          <w:sz w:val="16"/>
          <w:szCs w:val="16"/>
        </w:rPr>
      </w:pPr>
      <w:r>
        <w:rPr>
          <w:rStyle w:val="Rimandonotaapidipagina"/>
        </w:rPr>
        <w:footnoteRef/>
      </w:r>
      <w:r>
        <w:t xml:space="preserve"> </w:t>
      </w:r>
      <w:bookmarkStart w:id="0" w:name="_Hlk138420671"/>
      <w:bookmarkStart w:id="1" w:name="_Hlk138413471"/>
      <w:r w:rsidRPr="00442D57">
        <w:rPr>
          <w:rFonts w:cs="Times New Roman"/>
          <w:sz w:val="16"/>
          <w:szCs w:val="16"/>
        </w:rPr>
        <w:t>I testi indicati nella bibliografia sono acquistabili presso le librerie di Ateneo; è possibile acquistarli anche presso altri rivenditori.</w:t>
      </w:r>
      <w:r w:rsidRPr="001D7759">
        <w:rPr>
          <w:rFonts w:cs="Times New Roman"/>
          <w:sz w:val="16"/>
          <w:szCs w:val="16"/>
        </w:rPr>
        <w:t xml:space="preserve"> </w:t>
      </w:r>
      <w:bookmarkEnd w:id="0"/>
    </w:p>
    <w:bookmarkEnd w:id="1"/>
    <w:p w14:paraId="631C01D7" w14:textId="32CE9643" w:rsidR="007A7C2F" w:rsidRDefault="007A7C2F">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CEC"/>
    <w:rsid w:val="00030C49"/>
    <w:rsid w:val="00071B9E"/>
    <w:rsid w:val="0009347D"/>
    <w:rsid w:val="00145B0C"/>
    <w:rsid w:val="001829F1"/>
    <w:rsid w:val="00195BE8"/>
    <w:rsid w:val="001D2251"/>
    <w:rsid w:val="002367B1"/>
    <w:rsid w:val="002856CA"/>
    <w:rsid w:val="003841A7"/>
    <w:rsid w:val="00444F34"/>
    <w:rsid w:val="00462954"/>
    <w:rsid w:val="004845AE"/>
    <w:rsid w:val="00485C6D"/>
    <w:rsid w:val="004A07EF"/>
    <w:rsid w:val="004A24A6"/>
    <w:rsid w:val="004A7012"/>
    <w:rsid w:val="005017B1"/>
    <w:rsid w:val="00505999"/>
    <w:rsid w:val="005435B7"/>
    <w:rsid w:val="00580395"/>
    <w:rsid w:val="005D2903"/>
    <w:rsid w:val="00605C49"/>
    <w:rsid w:val="006A53D4"/>
    <w:rsid w:val="00704B5A"/>
    <w:rsid w:val="00756B48"/>
    <w:rsid w:val="00793F37"/>
    <w:rsid w:val="007A7C2F"/>
    <w:rsid w:val="00915897"/>
    <w:rsid w:val="0092056B"/>
    <w:rsid w:val="00956DCF"/>
    <w:rsid w:val="0096608A"/>
    <w:rsid w:val="00A41B47"/>
    <w:rsid w:val="00A65CF4"/>
    <w:rsid w:val="00A92739"/>
    <w:rsid w:val="00AD2708"/>
    <w:rsid w:val="00B41139"/>
    <w:rsid w:val="00B67470"/>
    <w:rsid w:val="00B87919"/>
    <w:rsid w:val="00BB2BCA"/>
    <w:rsid w:val="00BD05C2"/>
    <w:rsid w:val="00BF4E36"/>
    <w:rsid w:val="00C03E62"/>
    <w:rsid w:val="00C10D7D"/>
    <w:rsid w:val="00C27D8D"/>
    <w:rsid w:val="00CC3395"/>
    <w:rsid w:val="00CC4F29"/>
    <w:rsid w:val="00CC5A1D"/>
    <w:rsid w:val="00CE2FEA"/>
    <w:rsid w:val="00D35CEC"/>
    <w:rsid w:val="00D52E44"/>
    <w:rsid w:val="00E0364E"/>
    <w:rsid w:val="00E053F7"/>
    <w:rsid w:val="00E07A8B"/>
    <w:rsid w:val="00E14DB7"/>
    <w:rsid w:val="00F37A38"/>
    <w:rsid w:val="00F83BC4"/>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12B34"/>
  <w15:chartTrackingRefBased/>
  <w15:docId w15:val="{E34DE950-DD9F-4FCC-BEC5-4393B572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Bidi" w:eastAsiaTheme="minorHAnsi" w:hAnsiTheme="majorBidi" w:cstheme="majorBidi"/>
        <w:kern w:val="2"/>
        <w:sz w:val="24"/>
        <w:szCs w:val="26"/>
        <w:lang w:val="it-IT" w:eastAsia="en-US" w:bidi="he-IL"/>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35CEC"/>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35CEC"/>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35CEC"/>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35CEC"/>
    <w:pPr>
      <w:keepNext/>
      <w:keepLines/>
      <w:spacing w:before="80" w:after="40"/>
      <w:outlineLvl w:val="3"/>
    </w:pPr>
    <w:rPr>
      <w:rFonts w:asciiTheme="minorHAnsi" w:eastAsiaTheme="majorEastAsia" w:hAnsiTheme="minorHAnsi"/>
      <w:i/>
      <w:iCs/>
      <w:color w:val="0F4761" w:themeColor="accent1" w:themeShade="BF"/>
    </w:rPr>
  </w:style>
  <w:style w:type="paragraph" w:styleId="Titolo5">
    <w:name w:val="heading 5"/>
    <w:basedOn w:val="Normale"/>
    <w:next w:val="Normale"/>
    <w:link w:val="Titolo5Carattere"/>
    <w:uiPriority w:val="9"/>
    <w:semiHidden/>
    <w:unhideWhenUsed/>
    <w:qFormat/>
    <w:rsid w:val="00D35CEC"/>
    <w:pPr>
      <w:keepNext/>
      <w:keepLines/>
      <w:spacing w:before="80" w:after="40"/>
      <w:outlineLvl w:val="4"/>
    </w:pPr>
    <w:rPr>
      <w:rFonts w:asciiTheme="minorHAnsi" w:eastAsiaTheme="majorEastAsia" w:hAnsiTheme="minorHAnsi"/>
      <w:color w:val="0F4761" w:themeColor="accent1" w:themeShade="BF"/>
    </w:rPr>
  </w:style>
  <w:style w:type="paragraph" w:styleId="Titolo6">
    <w:name w:val="heading 6"/>
    <w:basedOn w:val="Normale"/>
    <w:next w:val="Normale"/>
    <w:link w:val="Titolo6Carattere"/>
    <w:uiPriority w:val="9"/>
    <w:semiHidden/>
    <w:unhideWhenUsed/>
    <w:qFormat/>
    <w:rsid w:val="00D35CEC"/>
    <w:pPr>
      <w:keepNext/>
      <w:keepLines/>
      <w:spacing w:before="40"/>
      <w:outlineLvl w:val="5"/>
    </w:pPr>
    <w:rPr>
      <w:rFonts w:asciiTheme="minorHAnsi" w:eastAsiaTheme="majorEastAsia" w:hAnsiTheme="minorHAnsi"/>
      <w:i/>
      <w:iCs/>
      <w:color w:val="595959" w:themeColor="text1" w:themeTint="A6"/>
    </w:rPr>
  </w:style>
  <w:style w:type="paragraph" w:styleId="Titolo7">
    <w:name w:val="heading 7"/>
    <w:basedOn w:val="Normale"/>
    <w:next w:val="Normale"/>
    <w:link w:val="Titolo7Carattere"/>
    <w:uiPriority w:val="9"/>
    <w:semiHidden/>
    <w:unhideWhenUsed/>
    <w:qFormat/>
    <w:rsid w:val="00D35CEC"/>
    <w:pPr>
      <w:keepNext/>
      <w:keepLines/>
      <w:spacing w:before="40"/>
      <w:outlineLvl w:val="6"/>
    </w:pPr>
    <w:rPr>
      <w:rFonts w:asciiTheme="minorHAnsi" w:eastAsiaTheme="majorEastAsia" w:hAnsiTheme="minorHAnsi"/>
      <w:color w:val="595959" w:themeColor="text1" w:themeTint="A6"/>
    </w:rPr>
  </w:style>
  <w:style w:type="paragraph" w:styleId="Titolo8">
    <w:name w:val="heading 8"/>
    <w:basedOn w:val="Normale"/>
    <w:next w:val="Normale"/>
    <w:link w:val="Titolo8Carattere"/>
    <w:uiPriority w:val="9"/>
    <w:semiHidden/>
    <w:unhideWhenUsed/>
    <w:qFormat/>
    <w:rsid w:val="00D35CEC"/>
    <w:pPr>
      <w:keepNext/>
      <w:keepLines/>
      <w:outlineLvl w:val="7"/>
    </w:pPr>
    <w:rPr>
      <w:rFonts w:asciiTheme="minorHAnsi" w:eastAsiaTheme="majorEastAsia" w:hAnsiTheme="minorHAnsi"/>
      <w:i/>
      <w:iCs/>
      <w:color w:val="272727" w:themeColor="text1" w:themeTint="D8"/>
    </w:rPr>
  </w:style>
  <w:style w:type="paragraph" w:styleId="Titolo9">
    <w:name w:val="heading 9"/>
    <w:basedOn w:val="Normale"/>
    <w:next w:val="Normale"/>
    <w:link w:val="Titolo9Carattere"/>
    <w:uiPriority w:val="9"/>
    <w:semiHidden/>
    <w:unhideWhenUsed/>
    <w:qFormat/>
    <w:rsid w:val="00D35CEC"/>
    <w:pPr>
      <w:keepNext/>
      <w:keepLines/>
      <w:outlineLvl w:val="8"/>
    </w:pPr>
    <w:rPr>
      <w:rFonts w:asciiTheme="minorHAnsi" w:eastAsiaTheme="majorEastAsia" w:hAnsiTheme="minorHAns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35CEC"/>
    <w:rPr>
      <w:rFonts w:asciiTheme="majorHAnsi" w:eastAsiaTheme="majorEastAsia" w:hAnsiTheme="majorHAnsi"/>
      <w:color w:val="0F4761" w:themeColor="accent1" w:themeShade="BF"/>
      <w:sz w:val="40"/>
      <w:szCs w:val="40"/>
    </w:rPr>
  </w:style>
  <w:style w:type="character" w:customStyle="1" w:styleId="Titolo2Carattere">
    <w:name w:val="Titolo 2 Carattere"/>
    <w:basedOn w:val="Carpredefinitoparagrafo"/>
    <w:link w:val="Titolo2"/>
    <w:uiPriority w:val="9"/>
    <w:semiHidden/>
    <w:rsid w:val="00D35CEC"/>
    <w:rPr>
      <w:rFonts w:asciiTheme="majorHAnsi" w:eastAsiaTheme="majorEastAsia" w:hAnsiTheme="majorHAnsi"/>
      <w:color w:val="0F4761" w:themeColor="accent1" w:themeShade="BF"/>
      <w:sz w:val="32"/>
      <w:szCs w:val="32"/>
    </w:rPr>
  </w:style>
  <w:style w:type="character" w:customStyle="1" w:styleId="Titolo3Carattere">
    <w:name w:val="Titolo 3 Carattere"/>
    <w:basedOn w:val="Carpredefinitoparagrafo"/>
    <w:link w:val="Titolo3"/>
    <w:uiPriority w:val="9"/>
    <w:semiHidden/>
    <w:rsid w:val="00D35CEC"/>
    <w:rPr>
      <w:rFonts w:asciiTheme="minorHAnsi" w:eastAsiaTheme="majorEastAsia" w:hAnsiTheme="minorHAnsi"/>
      <w:color w:val="0F4761" w:themeColor="accent1" w:themeShade="BF"/>
      <w:sz w:val="28"/>
      <w:szCs w:val="28"/>
    </w:rPr>
  </w:style>
  <w:style w:type="character" w:customStyle="1" w:styleId="Titolo4Carattere">
    <w:name w:val="Titolo 4 Carattere"/>
    <w:basedOn w:val="Carpredefinitoparagrafo"/>
    <w:link w:val="Titolo4"/>
    <w:uiPriority w:val="9"/>
    <w:semiHidden/>
    <w:rsid w:val="00D35CEC"/>
    <w:rPr>
      <w:rFonts w:asciiTheme="minorHAnsi" w:eastAsiaTheme="majorEastAsia" w:hAnsiTheme="minorHAnsi"/>
      <w:i/>
      <w:iCs/>
      <w:color w:val="0F4761" w:themeColor="accent1" w:themeShade="BF"/>
    </w:rPr>
  </w:style>
  <w:style w:type="character" w:customStyle="1" w:styleId="Titolo5Carattere">
    <w:name w:val="Titolo 5 Carattere"/>
    <w:basedOn w:val="Carpredefinitoparagrafo"/>
    <w:link w:val="Titolo5"/>
    <w:uiPriority w:val="9"/>
    <w:semiHidden/>
    <w:rsid w:val="00D35CEC"/>
    <w:rPr>
      <w:rFonts w:asciiTheme="minorHAnsi" w:eastAsiaTheme="majorEastAsia" w:hAnsiTheme="minorHAnsi"/>
      <w:color w:val="0F4761" w:themeColor="accent1" w:themeShade="BF"/>
    </w:rPr>
  </w:style>
  <w:style w:type="character" w:customStyle="1" w:styleId="Titolo6Carattere">
    <w:name w:val="Titolo 6 Carattere"/>
    <w:basedOn w:val="Carpredefinitoparagrafo"/>
    <w:link w:val="Titolo6"/>
    <w:uiPriority w:val="9"/>
    <w:semiHidden/>
    <w:rsid w:val="00D35CEC"/>
    <w:rPr>
      <w:rFonts w:asciiTheme="minorHAnsi" w:eastAsiaTheme="majorEastAsia" w:hAnsiTheme="minorHAnsi"/>
      <w:i/>
      <w:iCs/>
      <w:color w:val="595959" w:themeColor="text1" w:themeTint="A6"/>
    </w:rPr>
  </w:style>
  <w:style w:type="character" w:customStyle="1" w:styleId="Titolo7Carattere">
    <w:name w:val="Titolo 7 Carattere"/>
    <w:basedOn w:val="Carpredefinitoparagrafo"/>
    <w:link w:val="Titolo7"/>
    <w:uiPriority w:val="9"/>
    <w:semiHidden/>
    <w:rsid w:val="00D35CEC"/>
    <w:rPr>
      <w:rFonts w:asciiTheme="minorHAnsi" w:eastAsiaTheme="majorEastAsia" w:hAnsiTheme="minorHAnsi"/>
      <w:color w:val="595959" w:themeColor="text1" w:themeTint="A6"/>
    </w:rPr>
  </w:style>
  <w:style w:type="character" w:customStyle="1" w:styleId="Titolo8Carattere">
    <w:name w:val="Titolo 8 Carattere"/>
    <w:basedOn w:val="Carpredefinitoparagrafo"/>
    <w:link w:val="Titolo8"/>
    <w:uiPriority w:val="9"/>
    <w:semiHidden/>
    <w:rsid w:val="00D35CEC"/>
    <w:rPr>
      <w:rFonts w:asciiTheme="minorHAnsi" w:eastAsiaTheme="majorEastAsia" w:hAnsiTheme="minorHAnsi"/>
      <w:i/>
      <w:iCs/>
      <w:color w:val="272727" w:themeColor="text1" w:themeTint="D8"/>
    </w:rPr>
  </w:style>
  <w:style w:type="character" w:customStyle="1" w:styleId="Titolo9Carattere">
    <w:name w:val="Titolo 9 Carattere"/>
    <w:basedOn w:val="Carpredefinitoparagrafo"/>
    <w:link w:val="Titolo9"/>
    <w:uiPriority w:val="9"/>
    <w:semiHidden/>
    <w:rsid w:val="00D35CEC"/>
    <w:rPr>
      <w:rFonts w:asciiTheme="minorHAnsi" w:eastAsiaTheme="majorEastAsia" w:hAnsiTheme="minorHAnsi"/>
      <w:color w:val="272727" w:themeColor="text1" w:themeTint="D8"/>
    </w:rPr>
  </w:style>
  <w:style w:type="paragraph" w:styleId="Titolo">
    <w:name w:val="Title"/>
    <w:basedOn w:val="Normale"/>
    <w:next w:val="Normale"/>
    <w:link w:val="TitoloCarattere"/>
    <w:uiPriority w:val="10"/>
    <w:qFormat/>
    <w:rsid w:val="00D35CEC"/>
    <w:pPr>
      <w:spacing w:after="80" w:line="240" w:lineRule="auto"/>
      <w:contextualSpacing/>
    </w:pPr>
    <w:rPr>
      <w:rFonts w:asciiTheme="majorHAnsi" w:eastAsiaTheme="majorEastAsia" w:hAnsiTheme="majorHAnsi"/>
      <w:spacing w:val="-10"/>
      <w:kern w:val="28"/>
      <w:sz w:val="56"/>
      <w:szCs w:val="56"/>
    </w:rPr>
  </w:style>
  <w:style w:type="character" w:customStyle="1" w:styleId="TitoloCarattere">
    <w:name w:val="Titolo Carattere"/>
    <w:basedOn w:val="Carpredefinitoparagrafo"/>
    <w:link w:val="Titolo"/>
    <w:uiPriority w:val="10"/>
    <w:rsid w:val="00D35CEC"/>
    <w:rPr>
      <w:rFonts w:asciiTheme="majorHAnsi" w:eastAsiaTheme="majorEastAsia" w:hAnsiTheme="majorHAnsi"/>
      <w:spacing w:val="-10"/>
      <w:kern w:val="28"/>
      <w:sz w:val="56"/>
      <w:szCs w:val="56"/>
    </w:rPr>
  </w:style>
  <w:style w:type="paragraph" w:styleId="Sottotitolo">
    <w:name w:val="Subtitle"/>
    <w:basedOn w:val="Normale"/>
    <w:next w:val="Normale"/>
    <w:link w:val="SottotitoloCarattere"/>
    <w:uiPriority w:val="11"/>
    <w:qFormat/>
    <w:rsid w:val="00D35CEC"/>
    <w:pPr>
      <w:numPr>
        <w:ilvl w:val="1"/>
      </w:numPr>
      <w:spacing w:after="160"/>
    </w:pPr>
    <w:rPr>
      <w:rFonts w:asciiTheme="minorHAnsi" w:eastAsiaTheme="majorEastAsia" w:hAnsiTheme="minorHAns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35CEC"/>
    <w:rPr>
      <w:rFonts w:asciiTheme="minorHAnsi" w:eastAsiaTheme="majorEastAsia" w:hAnsiTheme="minorHAnsi"/>
      <w:color w:val="595959" w:themeColor="text1" w:themeTint="A6"/>
      <w:spacing w:val="15"/>
      <w:sz w:val="28"/>
      <w:szCs w:val="28"/>
    </w:rPr>
  </w:style>
  <w:style w:type="paragraph" w:styleId="Citazione">
    <w:name w:val="Quote"/>
    <w:basedOn w:val="Normale"/>
    <w:next w:val="Normale"/>
    <w:link w:val="CitazioneCarattere"/>
    <w:uiPriority w:val="29"/>
    <w:qFormat/>
    <w:rsid w:val="00D35CE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D35CEC"/>
    <w:rPr>
      <w:i/>
      <w:iCs/>
      <w:color w:val="404040" w:themeColor="text1" w:themeTint="BF"/>
    </w:rPr>
  </w:style>
  <w:style w:type="paragraph" w:styleId="Paragrafoelenco">
    <w:name w:val="List Paragraph"/>
    <w:basedOn w:val="Normale"/>
    <w:uiPriority w:val="34"/>
    <w:qFormat/>
    <w:rsid w:val="00D35CEC"/>
    <w:pPr>
      <w:ind w:left="720"/>
      <w:contextualSpacing/>
    </w:pPr>
  </w:style>
  <w:style w:type="character" w:styleId="Enfasiintensa">
    <w:name w:val="Intense Emphasis"/>
    <w:basedOn w:val="Carpredefinitoparagrafo"/>
    <w:uiPriority w:val="21"/>
    <w:qFormat/>
    <w:rsid w:val="00D35CEC"/>
    <w:rPr>
      <w:i/>
      <w:iCs/>
      <w:color w:val="0F4761" w:themeColor="accent1" w:themeShade="BF"/>
    </w:rPr>
  </w:style>
  <w:style w:type="paragraph" w:styleId="Citazioneintensa">
    <w:name w:val="Intense Quote"/>
    <w:basedOn w:val="Normale"/>
    <w:next w:val="Normale"/>
    <w:link w:val="CitazioneintensaCarattere"/>
    <w:uiPriority w:val="30"/>
    <w:qFormat/>
    <w:rsid w:val="00D35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35CEC"/>
    <w:rPr>
      <w:i/>
      <w:iCs/>
      <w:color w:val="0F4761" w:themeColor="accent1" w:themeShade="BF"/>
    </w:rPr>
  </w:style>
  <w:style w:type="character" w:styleId="Riferimentointenso">
    <w:name w:val="Intense Reference"/>
    <w:basedOn w:val="Carpredefinitoparagrafo"/>
    <w:uiPriority w:val="32"/>
    <w:qFormat/>
    <w:rsid w:val="00D35CEC"/>
    <w:rPr>
      <w:b/>
      <w:bCs/>
      <w:smallCaps/>
      <w:color w:val="0F4761" w:themeColor="accent1" w:themeShade="BF"/>
      <w:spacing w:val="5"/>
    </w:rPr>
  </w:style>
  <w:style w:type="paragraph" w:styleId="NormaleWeb">
    <w:name w:val="Normal (Web)"/>
    <w:basedOn w:val="Normale"/>
    <w:uiPriority w:val="99"/>
    <w:unhideWhenUsed/>
    <w:rsid w:val="00605C49"/>
    <w:pPr>
      <w:spacing w:before="100" w:beforeAutospacing="1" w:after="100" w:afterAutospacing="1" w:line="240" w:lineRule="auto"/>
      <w:jc w:val="left"/>
    </w:pPr>
    <w:rPr>
      <w:rFonts w:ascii="Times New Roman" w:eastAsia="Times New Roman" w:hAnsi="Times New Roman" w:cs="Times New Roman"/>
      <w:kern w:val="0"/>
      <w:szCs w:val="24"/>
      <w:lang w:eastAsia="it-IT"/>
      <w14:ligatures w14:val="none"/>
    </w:rPr>
  </w:style>
  <w:style w:type="character" w:styleId="Collegamentoipertestuale">
    <w:name w:val="Hyperlink"/>
    <w:basedOn w:val="Carpredefinitoparagrafo"/>
    <w:uiPriority w:val="99"/>
    <w:unhideWhenUsed/>
    <w:rsid w:val="00F83BC4"/>
    <w:rPr>
      <w:color w:val="467886" w:themeColor="hyperlink"/>
      <w:u w:val="single"/>
    </w:rPr>
  </w:style>
  <w:style w:type="character" w:styleId="Menzionenonrisolta">
    <w:name w:val="Unresolved Mention"/>
    <w:basedOn w:val="Carpredefinitoparagrafo"/>
    <w:uiPriority w:val="99"/>
    <w:semiHidden/>
    <w:unhideWhenUsed/>
    <w:rsid w:val="00F83BC4"/>
    <w:rPr>
      <w:color w:val="605E5C"/>
      <w:shd w:val="clear" w:color="auto" w:fill="E1DFDD"/>
    </w:rPr>
  </w:style>
  <w:style w:type="paragraph" w:styleId="Intestazione">
    <w:name w:val="header"/>
    <w:basedOn w:val="Normale"/>
    <w:link w:val="IntestazioneCarattere"/>
    <w:uiPriority w:val="99"/>
    <w:unhideWhenUsed/>
    <w:rsid w:val="0092056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92056B"/>
  </w:style>
  <w:style w:type="paragraph" w:styleId="Pidipagina">
    <w:name w:val="footer"/>
    <w:basedOn w:val="Normale"/>
    <w:link w:val="PidipaginaCarattere"/>
    <w:uiPriority w:val="99"/>
    <w:unhideWhenUsed/>
    <w:rsid w:val="0092056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2056B"/>
  </w:style>
  <w:style w:type="paragraph" w:styleId="Testonotaapidipagina">
    <w:name w:val="footnote text"/>
    <w:basedOn w:val="Normale"/>
    <w:link w:val="TestonotaapidipaginaCarattere"/>
    <w:uiPriority w:val="99"/>
    <w:semiHidden/>
    <w:unhideWhenUsed/>
    <w:rsid w:val="007A7C2F"/>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A7C2F"/>
    <w:rPr>
      <w:sz w:val="20"/>
      <w:szCs w:val="20"/>
    </w:rPr>
  </w:style>
  <w:style w:type="character" w:styleId="Rimandonotaapidipagina">
    <w:name w:val="footnote reference"/>
    <w:basedOn w:val="Carpredefinitoparagrafo"/>
    <w:uiPriority w:val="99"/>
    <w:semiHidden/>
    <w:unhideWhenUsed/>
    <w:rsid w:val="007A7C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16594">
      <w:bodyDiv w:val="1"/>
      <w:marLeft w:val="0"/>
      <w:marRight w:val="0"/>
      <w:marTop w:val="0"/>
      <w:marBottom w:val="0"/>
      <w:divBdr>
        <w:top w:val="none" w:sz="0" w:space="0" w:color="auto"/>
        <w:left w:val="none" w:sz="0" w:space="0" w:color="auto"/>
        <w:bottom w:val="none" w:sz="0" w:space="0" w:color="auto"/>
        <w:right w:val="none" w:sz="0" w:space="0" w:color="auto"/>
      </w:divBdr>
    </w:div>
    <w:div w:id="690492852">
      <w:bodyDiv w:val="1"/>
      <w:marLeft w:val="0"/>
      <w:marRight w:val="0"/>
      <w:marTop w:val="0"/>
      <w:marBottom w:val="0"/>
      <w:divBdr>
        <w:top w:val="none" w:sz="0" w:space="0" w:color="auto"/>
        <w:left w:val="none" w:sz="0" w:space="0" w:color="auto"/>
        <w:bottom w:val="none" w:sz="0" w:space="0" w:color="auto"/>
        <w:right w:val="none" w:sz="0" w:space="0" w:color="auto"/>
      </w:divBdr>
    </w:div>
    <w:div w:id="736973514">
      <w:bodyDiv w:val="1"/>
      <w:marLeft w:val="0"/>
      <w:marRight w:val="0"/>
      <w:marTop w:val="0"/>
      <w:marBottom w:val="0"/>
      <w:divBdr>
        <w:top w:val="none" w:sz="0" w:space="0" w:color="auto"/>
        <w:left w:val="none" w:sz="0" w:space="0" w:color="auto"/>
        <w:bottom w:val="none" w:sz="0" w:space="0" w:color="auto"/>
        <w:right w:val="none" w:sz="0" w:space="0" w:color="auto"/>
      </w:divBdr>
    </w:div>
    <w:div w:id="1063288336">
      <w:bodyDiv w:val="1"/>
      <w:marLeft w:val="0"/>
      <w:marRight w:val="0"/>
      <w:marTop w:val="0"/>
      <w:marBottom w:val="0"/>
      <w:divBdr>
        <w:top w:val="none" w:sz="0" w:space="0" w:color="auto"/>
        <w:left w:val="none" w:sz="0" w:space="0" w:color="auto"/>
        <w:bottom w:val="none" w:sz="0" w:space="0" w:color="auto"/>
        <w:right w:val="none" w:sz="0" w:space="0" w:color="auto"/>
      </w:divBdr>
    </w:div>
    <w:div w:id="1669093855">
      <w:bodyDiv w:val="1"/>
      <w:marLeft w:val="0"/>
      <w:marRight w:val="0"/>
      <w:marTop w:val="0"/>
      <w:marBottom w:val="0"/>
      <w:divBdr>
        <w:top w:val="none" w:sz="0" w:space="0" w:color="auto"/>
        <w:left w:val="none" w:sz="0" w:space="0" w:color="auto"/>
        <w:bottom w:val="none" w:sz="0" w:space="0" w:color="auto"/>
        <w:right w:val="none" w:sz="0" w:space="0" w:color="auto"/>
      </w:divBdr>
    </w:div>
    <w:div w:id="1870794345">
      <w:bodyDiv w:val="1"/>
      <w:marLeft w:val="0"/>
      <w:marRight w:val="0"/>
      <w:marTop w:val="0"/>
      <w:marBottom w:val="0"/>
      <w:divBdr>
        <w:top w:val="none" w:sz="0" w:space="0" w:color="auto"/>
        <w:left w:val="none" w:sz="0" w:space="0" w:color="auto"/>
        <w:bottom w:val="none" w:sz="0" w:space="0" w:color="auto"/>
        <w:right w:val="none" w:sz="0" w:space="0" w:color="auto"/>
      </w:divBdr>
    </w:div>
    <w:div w:id="2051108109">
      <w:bodyDiv w:val="1"/>
      <w:marLeft w:val="0"/>
      <w:marRight w:val="0"/>
      <w:marTop w:val="0"/>
      <w:marBottom w:val="0"/>
      <w:divBdr>
        <w:top w:val="none" w:sz="0" w:space="0" w:color="auto"/>
        <w:left w:val="none" w:sz="0" w:space="0" w:color="auto"/>
        <w:bottom w:val="none" w:sz="0" w:space="0" w:color="auto"/>
        <w:right w:val="none" w:sz="0" w:space="0" w:color="auto"/>
      </w:divBdr>
    </w:div>
    <w:div w:id="205753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arzio-barbagli/uomini-senza-storia-degli-eunuchi-e-del-declino-della-violenza-9788815383426-722046.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brerie.unicatt.it/scheda-libro/georg-ostrogorsky/storia-dellimpero-bizantino-9788806224165-21735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alvatore.cosentino@unibo.it" TargetMode="External"/><Relationship Id="rId4" Type="http://schemas.openxmlformats.org/officeDocument/2006/relationships/webSettings" Target="webSettings.xml"/><Relationship Id="rId9" Type="http://schemas.openxmlformats.org/officeDocument/2006/relationships/hyperlink" Target="mailto:salvatore.cosentino1@unicat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866A5-FD06-4295-AF06-21735C596A8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783</Words>
  <Characters>4469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Cosentino</dc:creator>
  <cp:keywords/>
  <dc:description/>
  <cp:lastModifiedBy>Locci Amedeo</cp:lastModifiedBy>
  <cp:revision>4</cp:revision>
  <dcterms:created xsi:type="dcterms:W3CDTF">2026-07-20T07:08:00Z</dcterms:created>
  <dcterms:modified xsi:type="dcterms:W3CDTF">2026-07-22T06:49:00Z</dcterms:modified>
</cp:coreProperties>
</file>