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C6869" w14:textId="77777777" w:rsidR="00B536C7" w:rsidRPr="00B536C7" w:rsidRDefault="0099171E" w:rsidP="00B536C7">
      <w:pPr>
        <w:pStyle w:val="Titolo1"/>
      </w:pPr>
      <w:r w:rsidRPr="00B536C7">
        <w:t>Preistoria e protostoria</w:t>
      </w:r>
    </w:p>
    <w:p w14:paraId="413F38DB" w14:textId="5F5FC1D8" w:rsidR="0099171E" w:rsidRDefault="0099171E" w:rsidP="00B536C7">
      <w:pPr>
        <w:pStyle w:val="Titolo2"/>
      </w:pPr>
      <w:r w:rsidRPr="0099171E">
        <w:t>Prof. Angelo Eugenio Fossati</w:t>
      </w:r>
    </w:p>
    <w:p w14:paraId="3175013A" w14:textId="50EB8375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t>OBIETTIVI DEL CORSO E RISULTATI DI APPRENDIMENTO ATTESI</w:t>
      </w:r>
    </w:p>
    <w:p w14:paraId="7AEDADED" w14:textId="3DA39BCB" w:rsidR="0099171E" w:rsidRPr="00B536C7" w:rsidRDefault="0099171E" w:rsidP="00B536C7">
      <w:pPr>
        <w:spacing w:line="240" w:lineRule="exact"/>
        <w:rPr>
          <w:rFonts w:eastAsiaTheme="minorHAnsi"/>
          <w:b/>
          <w:bCs/>
          <w:i/>
          <w:iCs/>
          <w:szCs w:val="20"/>
          <w:lang w:eastAsia="en-US"/>
        </w:rPr>
      </w:pPr>
      <w:r w:rsidRPr="00B536C7">
        <w:rPr>
          <w:rFonts w:eastAsiaTheme="minorHAnsi"/>
          <w:b/>
          <w:bCs/>
          <w:i/>
          <w:iCs/>
          <w:szCs w:val="20"/>
          <w:lang w:eastAsia="en-US"/>
        </w:rPr>
        <w:t>Obiettivi del Corso</w:t>
      </w:r>
    </w:p>
    <w:p w14:paraId="566A6621" w14:textId="6B936B2D" w:rsidR="0099171E" w:rsidRPr="00B536C7" w:rsidRDefault="0099171E" w:rsidP="00B536C7">
      <w:pPr>
        <w:spacing w:line="240" w:lineRule="exact"/>
        <w:rPr>
          <w:szCs w:val="20"/>
        </w:rPr>
      </w:pPr>
      <w:r w:rsidRPr="00B536C7">
        <w:rPr>
          <w:szCs w:val="20"/>
        </w:rPr>
        <w:t>Il corso è aperto a tutti e non richiede conoscenze preliminari. L’insegnamento intende introdurre gli studenti alle principali problematiche legate allo studio delle più antiche culture umane e fornire gli elementi fondamentali dell’archeologia preistorica e protostorica europea, con particolare attenzione all’Italia settentrionale e all’area alpina.</w:t>
      </w:r>
    </w:p>
    <w:p w14:paraId="1524B11F" w14:textId="77F69CDB" w:rsidR="0099171E" w:rsidRPr="00B536C7" w:rsidRDefault="0099171E" w:rsidP="00B536C7">
      <w:pPr>
        <w:spacing w:line="240" w:lineRule="exact"/>
        <w:rPr>
          <w:szCs w:val="20"/>
        </w:rPr>
      </w:pPr>
      <w:r w:rsidRPr="00B536C7">
        <w:rPr>
          <w:szCs w:val="20"/>
        </w:rPr>
        <w:t>L’edizione di quest’anno sarà dedicata a</w:t>
      </w:r>
      <w:r w:rsidR="008F62A6" w:rsidRPr="00B536C7">
        <w:rPr>
          <w:szCs w:val="20"/>
        </w:rPr>
        <w:t>d alcuni</w:t>
      </w:r>
      <w:r w:rsidRPr="00B536C7">
        <w:rPr>
          <w:szCs w:val="20"/>
        </w:rPr>
        <w:t xml:space="preserve"> approfondiment</w:t>
      </w:r>
      <w:r w:rsidR="008F62A6" w:rsidRPr="00B536C7">
        <w:rPr>
          <w:szCs w:val="20"/>
        </w:rPr>
        <w:t>i</w:t>
      </w:r>
      <w:r w:rsidRPr="00B536C7">
        <w:rPr>
          <w:szCs w:val="20"/>
        </w:rPr>
        <w:t xml:space="preserve"> sull’arte rupestre preistorica </w:t>
      </w:r>
      <w:r w:rsidR="0084472A" w:rsidRPr="00B536C7">
        <w:rPr>
          <w:szCs w:val="20"/>
        </w:rPr>
        <w:t xml:space="preserve">e protostorica </w:t>
      </w:r>
      <w:r w:rsidRPr="00B536C7">
        <w:rPr>
          <w:szCs w:val="20"/>
        </w:rPr>
        <w:t>euroasiatic</w:t>
      </w:r>
      <w:r w:rsidR="008F62A6" w:rsidRPr="00B536C7">
        <w:rPr>
          <w:szCs w:val="20"/>
        </w:rPr>
        <w:t>a</w:t>
      </w:r>
      <w:r w:rsidRPr="00B536C7">
        <w:rPr>
          <w:szCs w:val="20"/>
        </w:rPr>
        <w:t>, con un focus specifico su</w:t>
      </w:r>
      <w:r w:rsidR="008F62A6" w:rsidRPr="00B536C7">
        <w:rPr>
          <w:szCs w:val="20"/>
        </w:rPr>
        <w:t xml:space="preserve"> alcune</w:t>
      </w:r>
      <w:r w:rsidRPr="00B536C7">
        <w:rPr>
          <w:szCs w:val="20"/>
        </w:rPr>
        <w:t xml:space="preserve"> testimonianze presenti nell’Arco Alpino e nella Penisola Arabica. Verranno affrontati i seguenti temi: storia delle ricerche, tecniche di realizzazione e metodologie di studio, arte mobiliare e rupestre, problemi cronologici e principali interpretazioni.</w:t>
      </w:r>
    </w:p>
    <w:p w14:paraId="45E1F439" w14:textId="655ADCA3" w:rsidR="0099171E" w:rsidRPr="00B536C7" w:rsidRDefault="0099171E" w:rsidP="00B536C7">
      <w:pPr>
        <w:spacing w:line="240" w:lineRule="exact"/>
        <w:rPr>
          <w:szCs w:val="20"/>
        </w:rPr>
      </w:pPr>
      <w:r w:rsidRPr="00B536C7">
        <w:rPr>
          <w:szCs w:val="20"/>
        </w:rPr>
        <w:t>Nel corso delle lezioni saranno inoltre proposte visite di studio e attività di approfondimento presso alcuni dei siti archeologici esaminati durante il corso.</w:t>
      </w:r>
    </w:p>
    <w:p w14:paraId="7D06DE0B" w14:textId="32DCD0C0" w:rsidR="0099171E" w:rsidRPr="00B536C7" w:rsidRDefault="0099171E" w:rsidP="00B536C7">
      <w:pPr>
        <w:spacing w:line="240" w:lineRule="exact"/>
        <w:rPr>
          <w:b/>
          <w:bCs/>
          <w:szCs w:val="20"/>
        </w:rPr>
      </w:pPr>
      <w:r w:rsidRPr="00B536C7">
        <w:rPr>
          <w:b/>
          <w:bCs/>
          <w:szCs w:val="20"/>
        </w:rPr>
        <w:t>Risultati di apprendimento attesi</w:t>
      </w:r>
    </w:p>
    <w:p w14:paraId="6A570539" w14:textId="078D1F8C" w:rsidR="0099171E" w:rsidRPr="00B536C7" w:rsidRDefault="0099171E" w:rsidP="00B536C7">
      <w:pPr>
        <w:spacing w:line="240" w:lineRule="exact"/>
        <w:rPr>
          <w:szCs w:val="20"/>
        </w:rPr>
      </w:pPr>
      <w:r w:rsidRPr="00B536C7">
        <w:rPr>
          <w:szCs w:val="20"/>
        </w:rPr>
        <w:t>Al termine dell’insegnamento lo studente sarà in grado di delineare le principali fasi di sviluppo della preistoria e della protostoria in Europa e nell’Italia settentrionale, riconoscere e descrivere alcune classi di materiali archeologici (litici, metallici e ceramici) e contestualizzare le culture umane che li hanno prodotti.</w:t>
      </w:r>
    </w:p>
    <w:p w14:paraId="16ED6E4D" w14:textId="78DC1D49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t>PROGRAMMA DEL CORSO</w:t>
      </w:r>
    </w:p>
    <w:p w14:paraId="2DAD3878" w14:textId="77777777" w:rsidR="0099171E" w:rsidRPr="00B536C7" w:rsidRDefault="0099171E" w:rsidP="00B536C7">
      <w:pPr>
        <w:spacing w:line="240" w:lineRule="exact"/>
        <w:rPr>
          <w:smallCaps/>
          <w:szCs w:val="20"/>
        </w:rPr>
      </w:pPr>
      <w:r w:rsidRPr="00B536C7">
        <w:rPr>
          <w:smallCaps/>
          <w:szCs w:val="20"/>
        </w:rPr>
        <w:tab/>
        <w:t>Parte istituzionale</w:t>
      </w:r>
    </w:p>
    <w:p w14:paraId="695C2BC8" w14:textId="07DF152B" w:rsidR="0099171E" w:rsidRPr="00B536C7" w:rsidRDefault="0099171E" w:rsidP="00B536C7">
      <w:pPr>
        <w:spacing w:line="240" w:lineRule="exact"/>
        <w:rPr>
          <w:szCs w:val="20"/>
        </w:rPr>
      </w:pPr>
      <w:r w:rsidRPr="00B536C7">
        <w:rPr>
          <w:szCs w:val="20"/>
        </w:rPr>
        <w:t>Elementi di preistoria e protostoria europea con particolare riferimento all’Italia Settentrionale. L’ominazione e le più antiche culture umane; l’età della Pietra</w:t>
      </w:r>
      <w:r w:rsidR="0084472A" w:rsidRPr="00B536C7">
        <w:rPr>
          <w:szCs w:val="20"/>
        </w:rPr>
        <w:t xml:space="preserve"> (Paleolitico, Mesolitico, Neolitico)</w:t>
      </w:r>
      <w:r w:rsidRPr="00B536C7">
        <w:rPr>
          <w:szCs w:val="20"/>
        </w:rPr>
        <w:t>; Oetzi, l’uomo venuto dai ghiacci; le</w:t>
      </w:r>
      <w:r w:rsidR="0084472A" w:rsidRPr="00B536C7">
        <w:rPr>
          <w:szCs w:val="20"/>
        </w:rPr>
        <w:t xml:space="preserve"> prime</w:t>
      </w:r>
      <w:r w:rsidRPr="00B536C7">
        <w:rPr>
          <w:szCs w:val="20"/>
        </w:rPr>
        <w:t xml:space="preserve"> età dei metalli</w:t>
      </w:r>
      <w:r w:rsidR="0084472A" w:rsidRPr="00B536C7">
        <w:rPr>
          <w:szCs w:val="20"/>
        </w:rPr>
        <w:t xml:space="preserve"> (età del Rame, età del Bronzo)</w:t>
      </w:r>
      <w:r w:rsidRPr="00B536C7">
        <w:rPr>
          <w:szCs w:val="20"/>
        </w:rPr>
        <w:t>. Le culture dell’età del Ferro in Italia Settentrionale.</w:t>
      </w:r>
    </w:p>
    <w:p w14:paraId="10088FD8" w14:textId="77777777" w:rsidR="0099171E" w:rsidRPr="00B536C7" w:rsidRDefault="0099171E" w:rsidP="00B536C7">
      <w:pPr>
        <w:spacing w:before="120" w:line="240" w:lineRule="exact"/>
        <w:rPr>
          <w:smallCaps/>
          <w:szCs w:val="20"/>
        </w:rPr>
      </w:pPr>
      <w:r w:rsidRPr="00B536C7">
        <w:rPr>
          <w:smallCaps/>
          <w:szCs w:val="20"/>
        </w:rPr>
        <w:tab/>
        <w:t>Parte monografica</w:t>
      </w:r>
    </w:p>
    <w:p w14:paraId="064B0861" w14:textId="7F7CBA92" w:rsidR="0084472A" w:rsidRPr="00B536C7" w:rsidRDefault="0084472A" w:rsidP="00B536C7">
      <w:pPr>
        <w:spacing w:line="240" w:lineRule="exact"/>
        <w:rPr>
          <w:szCs w:val="20"/>
        </w:rPr>
      </w:pPr>
      <w:r w:rsidRPr="00B536C7">
        <w:rPr>
          <w:szCs w:val="20"/>
        </w:rPr>
        <w:t xml:space="preserve">L’arte rupestre preistorica e protostorica nel continente euroasiatico. Storia delle ricerche, </w:t>
      </w:r>
      <w:r w:rsidRPr="00B536C7">
        <w:rPr>
          <w:i/>
          <w:iCs/>
          <w:szCs w:val="20"/>
        </w:rPr>
        <w:t>excursus</w:t>
      </w:r>
      <w:r w:rsidRPr="00B536C7">
        <w:rPr>
          <w:szCs w:val="20"/>
        </w:rPr>
        <w:t xml:space="preserve"> cronologico, le più importanti tradizioni rupestri in Europa e in Asia. Focus sull’arte rupestre alpina e della Penisola Arabica.</w:t>
      </w:r>
    </w:p>
    <w:p w14:paraId="172E9F4E" w14:textId="77777777" w:rsidR="0084472A" w:rsidRPr="0099171E" w:rsidRDefault="0084472A" w:rsidP="00B536C7">
      <w:pPr>
        <w:spacing w:line="240" w:lineRule="exact"/>
        <w:rPr>
          <w:smallCaps/>
          <w:sz w:val="24"/>
        </w:rPr>
      </w:pPr>
    </w:p>
    <w:p w14:paraId="4666F24F" w14:textId="388EB23B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lastRenderedPageBreak/>
        <w:t>BIBLIOGRAFIA</w:t>
      </w:r>
      <w:r w:rsidR="00F87D02">
        <w:rPr>
          <w:rStyle w:val="Rimandonotaapidipagina"/>
          <w:b/>
          <w:i/>
          <w:sz w:val="18"/>
          <w:szCs w:val="18"/>
        </w:rPr>
        <w:footnoteReference w:id="1"/>
      </w:r>
    </w:p>
    <w:p w14:paraId="766A8D33" w14:textId="77777777" w:rsidR="0099171E" w:rsidRPr="00B536C7" w:rsidRDefault="0099171E" w:rsidP="00B536C7">
      <w:pPr>
        <w:pStyle w:val="Testo2"/>
        <w:spacing w:line="240" w:lineRule="exact"/>
        <w:ind w:firstLine="0"/>
        <w:rPr>
          <w:rFonts w:ascii="Times New Roman" w:hAnsi="Times New Roman"/>
          <w:i/>
          <w:szCs w:val="18"/>
        </w:rPr>
      </w:pPr>
      <w:r w:rsidRPr="00B536C7">
        <w:rPr>
          <w:rFonts w:ascii="Times New Roman" w:hAnsi="Times New Roman"/>
          <w:i/>
          <w:szCs w:val="18"/>
        </w:rPr>
        <w:t>Parte istituzionale</w:t>
      </w:r>
    </w:p>
    <w:p w14:paraId="70B7C8D2" w14:textId="2E94D971" w:rsidR="0099171E" w:rsidRPr="00B536C7" w:rsidRDefault="0099171E" w:rsidP="00B536C7">
      <w:pPr>
        <w:pStyle w:val="Testo2"/>
        <w:spacing w:line="240" w:lineRule="exact"/>
        <w:ind w:hanging="284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 xml:space="preserve">Metodi di datazione </w:t>
      </w:r>
      <w:r w:rsidR="0084472A" w:rsidRPr="00B536C7">
        <w:rPr>
          <w:rFonts w:ascii="Times New Roman" w:hAnsi="Times New Roman"/>
          <w:szCs w:val="18"/>
        </w:rPr>
        <w:t xml:space="preserve">e cronologia </w:t>
      </w:r>
      <w:r w:rsidRPr="00B536C7">
        <w:rPr>
          <w:rFonts w:ascii="Times New Roman" w:hAnsi="Times New Roman"/>
          <w:szCs w:val="18"/>
        </w:rPr>
        <w:t>(da leggere)</w:t>
      </w:r>
    </w:p>
    <w:p w14:paraId="55A024B0" w14:textId="4CC5512D" w:rsidR="0099171E" w:rsidRPr="00B536C7" w:rsidRDefault="003E57B0" w:rsidP="00B536C7">
      <w:pPr>
        <w:pStyle w:val="Testo2"/>
        <w:spacing w:line="240" w:lineRule="exact"/>
        <w:ind w:hanging="284"/>
        <w:rPr>
          <w:rFonts w:ascii="Times New Roman" w:hAnsi="Times New Roman"/>
          <w:spacing w:val="-5"/>
          <w:szCs w:val="18"/>
        </w:rPr>
      </w:pPr>
      <w:r w:rsidRPr="00B536C7">
        <w:rPr>
          <w:rFonts w:ascii="Times New Roman" w:hAnsi="Times New Roman"/>
          <w:smallCaps/>
          <w:spacing w:val="-5"/>
          <w:szCs w:val="18"/>
        </w:rPr>
        <w:tab/>
      </w:r>
      <w:r w:rsidR="0099171E" w:rsidRPr="00B536C7">
        <w:rPr>
          <w:rFonts w:ascii="Times New Roman" w:hAnsi="Times New Roman"/>
          <w:smallCaps/>
          <w:spacing w:val="-5"/>
          <w:szCs w:val="18"/>
          <w:lang w:val="en-US"/>
        </w:rPr>
        <w:t>C. Renfrew-P. Bahn</w:t>
      </w:r>
      <w:r w:rsidR="008F62A6" w:rsidRPr="00B536C7">
        <w:rPr>
          <w:rFonts w:ascii="Times New Roman" w:hAnsi="Times New Roman"/>
          <w:smallCaps/>
          <w:spacing w:val="-5"/>
          <w:szCs w:val="18"/>
          <w:lang w:val="en-US"/>
        </w:rPr>
        <w:t xml:space="preserve">-E. </w:t>
      </w:r>
      <w:r w:rsidR="008F62A6" w:rsidRPr="00B536C7">
        <w:rPr>
          <w:rFonts w:ascii="Times New Roman" w:hAnsi="Times New Roman"/>
          <w:smallCaps/>
          <w:spacing w:val="-5"/>
          <w:szCs w:val="18"/>
        </w:rPr>
        <w:t>DeMarrais</w:t>
      </w:r>
      <w:r w:rsidR="0099171E" w:rsidRPr="00B536C7">
        <w:rPr>
          <w:rFonts w:ascii="Times New Roman" w:hAnsi="Times New Roman"/>
          <w:smallCaps/>
          <w:spacing w:val="-5"/>
          <w:szCs w:val="18"/>
        </w:rPr>
        <w:t>,</w:t>
      </w:r>
      <w:r w:rsidR="0099171E" w:rsidRPr="00B536C7">
        <w:rPr>
          <w:rFonts w:ascii="Times New Roman" w:hAnsi="Times New Roman"/>
          <w:i/>
          <w:spacing w:val="-5"/>
          <w:szCs w:val="18"/>
        </w:rPr>
        <w:t xml:space="preserve"> “Quando?” Metodi di datazione e cronologia,</w:t>
      </w:r>
      <w:r w:rsidR="0099171E" w:rsidRPr="00B536C7">
        <w:rPr>
          <w:rFonts w:ascii="Times New Roman" w:hAnsi="Times New Roman"/>
          <w:spacing w:val="-5"/>
          <w:szCs w:val="18"/>
        </w:rPr>
        <w:t xml:space="preserve"> in </w:t>
      </w:r>
      <w:r w:rsidR="0099171E" w:rsidRPr="00B536C7">
        <w:rPr>
          <w:rFonts w:ascii="Times New Roman" w:hAnsi="Times New Roman"/>
          <w:i/>
          <w:spacing w:val="-5"/>
          <w:szCs w:val="18"/>
        </w:rPr>
        <w:t>Archeologia. Teoria, metodi, pratica</w:t>
      </w:r>
      <w:r w:rsidR="0099171E" w:rsidRPr="00B536C7">
        <w:rPr>
          <w:rFonts w:ascii="Times New Roman" w:hAnsi="Times New Roman"/>
          <w:spacing w:val="-5"/>
          <w:szCs w:val="18"/>
        </w:rPr>
        <w:t>, ed. Zanichelli, 20</w:t>
      </w:r>
      <w:r w:rsidR="008F62A6" w:rsidRPr="00B536C7">
        <w:rPr>
          <w:rFonts w:ascii="Times New Roman" w:hAnsi="Times New Roman"/>
          <w:spacing w:val="-5"/>
          <w:szCs w:val="18"/>
        </w:rPr>
        <w:t>24</w:t>
      </w:r>
      <w:r w:rsidR="0099171E" w:rsidRPr="00B536C7">
        <w:rPr>
          <w:rFonts w:ascii="Times New Roman" w:hAnsi="Times New Roman"/>
          <w:spacing w:val="-5"/>
          <w:szCs w:val="18"/>
        </w:rPr>
        <w:t xml:space="preserve">, pp. </w:t>
      </w:r>
      <w:r w:rsidR="008F62A6" w:rsidRPr="00B536C7">
        <w:rPr>
          <w:rFonts w:ascii="Times New Roman" w:hAnsi="Times New Roman"/>
          <w:spacing w:val="-5"/>
          <w:szCs w:val="18"/>
        </w:rPr>
        <w:t>95-</w:t>
      </w:r>
      <w:r w:rsidR="0099171E" w:rsidRPr="00B536C7">
        <w:rPr>
          <w:rFonts w:ascii="Times New Roman" w:hAnsi="Times New Roman"/>
          <w:spacing w:val="-5"/>
          <w:szCs w:val="18"/>
        </w:rPr>
        <w:t>12</w:t>
      </w:r>
      <w:r w:rsidR="008F62A6" w:rsidRPr="00B536C7">
        <w:rPr>
          <w:rFonts w:ascii="Times New Roman" w:hAnsi="Times New Roman"/>
          <w:spacing w:val="-5"/>
          <w:szCs w:val="18"/>
        </w:rPr>
        <w:t>4</w:t>
      </w:r>
      <w:r w:rsidR="0099171E" w:rsidRPr="00B536C7">
        <w:rPr>
          <w:rFonts w:ascii="Times New Roman" w:hAnsi="Times New Roman"/>
          <w:spacing w:val="-5"/>
          <w:szCs w:val="18"/>
        </w:rPr>
        <w:t>.</w:t>
      </w:r>
      <w:r w:rsidR="00F87D02" w:rsidRPr="00F87D02">
        <w:t xml:space="preserve"> </w:t>
      </w:r>
      <w:hyperlink r:id="rId7" w:history="1">
        <w:r w:rsidR="00F87D02" w:rsidRPr="00F87D02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7BAC4C46" w14:textId="0D856B81" w:rsidR="0099171E" w:rsidRPr="00B536C7" w:rsidRDefault="0099171E" w:rsidP="00B536C7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>Ominazione</w:t>
      </w:r>
      <w:r w:rsidR="0084472A" w:rsidRPr="00B536C7">
        <w:rPr>
          <w:rFonts w:ascii="Times New Roman" w:hAnsi="Times New Roman"/>
          <w:szCs w:val="18"/>
        </w:rPr>
        <w:t xml:space="preserve"> (da leggere)</w:t>
      </w:r>
    </w:p>
    <w:p w14:paraId="1BF71F8E" w14:textId="2D6ABFC5" w:rsidR="0099171E" w:rsidRPr="00B536C7" w:rsidRDefault="003E57B0" w:rsidP="00B536C7">
      <w:pPr>
        <w:pStyle w:val="Testo2"/>
        <w:spacing w:line="240" w:lineRule="exact"/>
        <w:ind w:hanging="284"/>
        <w:rPr>
          <w:rFonts w:ascii="Times New Roman" w:hAnsi="Times New Roman"/>
          <w:spacing w:val="-5"/>
          <w:szCs w:val="18"/>
        </w:rPr>
      </w:pPr>
      <w:r w:rsidRPr="00B536C7">
        <w:rPr>
          <w:rFonts w:ascii="Times New Roman" w:hAnsi="Times New Roman"/>
          <w:spacing w:val="-5"/>
          <w:szCs w:val="18"/>
        </w:rPr>
        <w:tab/>
      </w:r>
      <w:r w:rsidR="0099171E" w:rsidRPr="00B536C7">
        <w:rPr>
          <w:rFonts w:ascii="Times New Roman" w:hAnsi="Times New Roman"/>
          <w:spacing w:val="-5"/>
          <w:szCs w:val="18"/>
        </w:rPr>
        <w:t xml:space="preserve">G. </w:t>
      </w:r>
      <w:r w:rsidR="008F62A6" w:rsidRPr="00B536C7">
        <w:rPr>
          <w:rFonts w:ascii="Times New Roman" w:hAnsi="Times New Roman"/>
          <w:smallCaps/>
          <w:spacing w:val="-5"/>
          <w:szCs w:val="18"/>
        </w:rPr>
        <w:t>Manzi</w:t>
      </w:r>
      <w:r w:rsidR="0099171E" w:rsidRPr="00B536C7">
        <w:rPr>
          <w:rFonts w:ascii="Times New Roman" w:hAnsi="Times New Roman"/>
          <w:spacing w:val="-5"/>
          <w:szCs w:val="18"/>
        </w:rPr>
        <w:t xml:space="preserve">, 2024, </w:t>
      </w:r>
      <w:r w:rsidR="0099171E" w:rsidRPr="00B536C7">
        <w:rPr>
          <w:rFonts w:ascii="Times New Roman" w:hAnsi="Times New Roman"/>
          <w:i/>
          <w:iCs/>
          <w:spacing w:val="-5"/>
          <w:szCs w:val="18"/>
        </w:rPr>
        <w:t>Antenati. Lucy e altri racconti dal tempo profondo</w:t>
      </w:r>
      <w:r w:rsidR="0099171E" w:rsidRPr="00B536C7">
        <w:rPr>
          <w:rFonts w:ascii="Times New Roman" w:hAnsi="Times New Roman"/>
          <w:bCs/>
          <w:spacing w:val="-5"/>
          <w:szCs w:val="18"/>
        </w:rPr>
        <w:t>, Il Mulino</w:t>
      </w:r>
      <w:r w:rsidR="0099171E" w:rsidRPr="00B536C7">
        <w:rPr>
          <w:rFonts w:ascii="Times New Roman" w:hAnsi="Times New Roman"/>
          <w:spacing w:val="-5"/>
          <w:szCs w:val="18"/>
        </w:rPr>
        <w:t>.</w:t>
      </w:r>
      <w:r w:rsidR="00F87D02" w:rsidRPr="00F87D02">
        <w:t xml:space="preserve"> </w:t>
      </w:r>
      <w:hyperlink r:id="rId8" w:history="1">
        <w:r w:rsidR="00F87D02" w:rsidRPr="00F87D02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72824374" w14:textId="477DD124" w:rsidR="0099171E" w:rsidRPr="00B536C7" w:rsidRDefault="0084472A" w:rsidP="00B536C7">
      <w:pPr>
        <w:pStyle w:val="Testo1"/>
        <w:spacing w:line="240" w:lineRule="exact"/>
        <w:ind w:left="0"/>
        <w:rPr>
          <w:rFonts w:ascii="Times New Roman" w:hAnsi="Times New Roman"/>
          <w:i/>
          <w:spacing w:val="-5"/>
          <w:szCs w:val="18"/>
        </w:rPr>
      </w:pPr>
      <w:r w:rsidRPr="00B536C7">
        <w:rPr>
          <w:rFonts w:ascii="Times New Roman" w:hAnsi="Times New Roman"/>
          <w:i/>
          <w:spacing w:val="-5"/>
          <w:szCs w:val="18"/>
        </w:rPr>
        <w:t xml:space="preserve">      </w:t>
      </w:r>
      <w:r w:rsidR="0099171E" w:rsidRPr="00B536C7">
        <w:rPr>
          <w:rFonts w:ascii="Times New Roman" w:hAnsi="Times New Roman"/>
          <w:i/>
          <w:spacing w:val="-5"/>
          <w:szCs w:val="18"/>
        </w:rPr>
        <w:t>Parte generale</w:t>
      </w:r>
    </w:p>
    <w:p w14:paraId="0A62B42D" w14:textId="4EC01D1E" w:rsidR="0099171E" w:rsidRPr="00B536C7" w:rsidRDefault="0099171E" w:rsidP="00B536C7">
      <w:pPr>
        <w:pStyle w:val="Testo1"/>
        <w:spacing w:before="0" w:line="240" w:lineRule="exact"/>
        <w:ind w:left="0" w:firstLine="0"/>
        <w:rPr>
          <w:rFonts w:ascii="Times New Roman" w:hAnsi="Times New Roman"/>
          <w:spacing w:val="-5"/>
          <w:szCs w:val="18"/>
        </w:rPr>
      </w:pPr>
      <w:r w:rsidRPr="00B536C7">
        <w:rPr>
          <w:rFonts w:ascii="Times New Roman" w:hAnsi="Times New Roman"/>
          <w:smallCaps/>
          <w:spacing w:val="-5"/>
          <w:szCs w:val="18"/>
        </w:rPr>
        <w:t>R.C. De Marinis, 2000,</w:t>
      </w:r>
      <w:r w:rsidRPr="00B536C7">
        <w:rPr>
          <w:rFonts w:ascii="Times New Roman" w:hAnsi="Times New Roman"/>
          <w:i/>
          <w:spacing w:val="-5"/>
          <w:szCs w:val="18"/>
        </w:rPr>
        <w:t xml:space="preserve"> Il Museo Civico Archeologico Giovanni Rambotti. Una introduzione alla preistoria del lago di Garda,</w:t>
      </w:r>
      <w:r w:rsidRPr="00B536C7">
        <w:rPr>
          <w:rFonts w:ascii="Times New Roman" w:hAnsi="Times New Roman"/>
          <w:spacing w:val="-5"/>
          <w:szCs w:val="18"/>
        </w:rPr>
        <w:t xml:space="preserve"> ed. del Museo, Desenzano (solo la parte introduttiva alle culture preistoriche).</w:t>
      </w:r>
    </w:p>
    <w:p w14:paraId="08050359" w14:textId="77777777" w:rsidR="003E57B0" w:rsidRPr="00B536C7" w:rsidRDefault="003E57B0" w:rsidP="00B536C7">
      <w:pPr>
        <w:pStyle w:val="Testo2"/>
        <w:spacing w:before="120" w:line="240" w:lineRule="exact"/>
        <w:ind w:firstLine="0"/>
        <w:rPr>
          <w:rFonts w:ascii="Times New Roman" w:hAnsi="Times New Roman"/>
          <w:i/>
          <w:szCs w:val="18"/>
        </w:rPr>
      </w:pPr>
      <w:r w:rsidRPr="00B536C7">
        <w:rPr>
          <w:rFonts w:ascii="Times New Roman" w:hAnsi="Times New Roman"/>
          <w:i/>
          <w:szCs w:val="18"/>
        </w:rPr>
        <w:t>Parte monografica</w:t>
      </w:r>
    </w:p>
    <w:p w14:paraId="19629761" w14:textId="435E321E" w:rsidR="003E57B0" w:rsidRPr="00B536C7" w:rsidRDefault="003E57B0" w:rsidP="00B536C7">
      <w:pPr>
        <w:pStyle w:val="Testo2"/>
        <w:spacing w:line="240" w:lineRule="exact"/>
        <w:ind w:firstLine="0"/>
        <w:rPr>
          <w:rFonts w:ascii="Times New Roman" w:hAnsi="Times New Roman"/>
          <w:iCs/>
          <w:szCs w:val="18"/>
        </w:rPr>
      </w:pPr>
      <w:r w:rsidRPr="00B536C7">
        <w:rPr>
          <w:rFonts w:ascii="Times New Roman" w:hAnsi="Times New Roman"/>
          <w:smallCaps/>
          <w:spacing w:val="-5"/>
          <w:szCs w:val="18"/>
        </w:rPr>
        <w:t>A.E. Fossati</w:t>
      </w:r>
      <w:r w:rsidRPr="00B536C7">
        <w:rPr>
          <w:rFonts w:ascii="Times New Roman" w:hAnsi="Times New Roman"/>
          <w:szCs w:val="18"/>
        </w:rPr>
        <w:t xml:space="preserve">, 2021, </w:t>
      </w:r>
      <w:r w:rsidRPr="00B536C7">
        <w:rPr>
          <w:rFonts w:ascii="Times New Roman" w:hAnsi="Times New Roman"/>
          <w:i/>
          <w:szCs w:val="18"/>
        </w:rPr>
        <w:t xml:space="preserve">Le imbarcazioni e gli animali marini nell’arte rupestre dell’Oman, Penisola Arabica, in </w:t>
      </w:r>
      <w:r w:rsidRPr="00B536C7">
        <w:rPr>
          <w:rFonts w:ascii="Times New Roman" w:hAnsi="Times New Roman"/>
          <w:iCs/>
          <w:szCs w:val="18"/>
        </w:rPr>
        <w:t>Sannazaro, M., Perassi, C., Giostra, C. (ed.),</w:t>
      </w:r>
      <w:r w:rsidRPr="00B536C7">
        <w:rPr>
          <w:rFonts w:ascii="Times New Roman" w:hAnsi="Times New Roman"/>
          <w:i/>
          <w:szCs w:val="18"/>
        </w:rPr>
        <w:t xml:space="preserve"> “Sotto il profilo del metodo”, </w:t>
      </w:r>
      <w:r w:rsidRPr="00B536C7">
        <w:rPr>
          <w:rFonts w:ascii="Times New Roman" w:hAnsi="Times New Roman"/>
          <w:iCs/>
          <w:szCs w:val="18"/>
        </w:rPr>
        <w:t>SAP Società Archeologica, Quingentole (Mantova).</w:t>
      </w:r>
    </w:p>
    <w:p w14:paraId="076AD01D" w14:textId="0B90B808" w:rsidR="0099171E" w:rsidRPr="00B536C7" w:rsidRDefault="0099171E" w:rsidP="00B536C7">
      <w:pPr>
        <w:pStyle w:val="Testo1"/>
        <w:spacing w:before="0" w:line="240" w:lineRule="exact"/>
        <w:ind w:left="0" w:firstLine="0"/>
        <w:rPr>
          <w:rFonts w:ascii="Times New Roman" w:hAnsi="Times New Roman"/>
          <w:szCs w:val="18"/>
          <w:lang w:val="en-US"/>
        </w:rPr>
      </w:pPr>
      <w:r w:rsidRPr="00B536C7">
        <w:rPr>
          <w:rFonts w:ascii="Times New Roman" w:hAnsi="Times New Roman"/>
          <w:smallCaps/>
          <w:spacing w:val="-5"/>
          <w:szCs w:val="18"/>
          <w:lang w:val="en-US"/>
        </w:rPr>
        <w:t>A.E. Fossati</w:t>
      </w:r>
      <w:r w:rsidRPr="00B536C7">
        <w:rPr>
          <w:rFonts w:ascii="Times New Roman" w:hAnsi="Times New Roman"/>
          <w:szCs w:val="18"/>
          <w:lang w:val="en-US"/>
        </w:rPr>
        <w:t xml:space="preserve">, </w:t>
      </w:r>
      <w:r w:rsidR="008F62A6" w:rsidRPr="00B536C7">
        <w:rPr>
          <w:rFonts w:ascii="Times New Roman" w:hAnsi="Times New Roman"/>
          <w:szCs w:val="18"/>
          <w:lang w:val="en-US"/>
        </w:rPr>
        <w:t>2026</w:t>
      </w:r>
      <w:r w:rsidRPr="00B536C7">
        <w:rPr>
          <w:rFonts w:ascii="Times New Roman" w:hAnsi="Times New Roman"/>
          <w:szCs w:val="18"/>
          <w:lang w:val="en-US"/>
        </w:rPr>
        <w:t xml:space="preserve">, </w:t>
      </w:r>
      <w:r w:rsidR="008F62A6" w:rsidRPr="00B536C7">
        <w:rPr>
          <w:rFonts w:ascii="Times New Roman" w:hAnsi="Times New Roman"/>
          <w:i/>
          <w:iCs/>
          <w:szCs w:val="18"/>
          <w:lang w:val="en-US"/>
        </w:rPr>
        <w:t>The rock art of Northern Oman</w:t>
      </w:r>
      <w:r w:rsidR="008F62A6" w:rsidRPr="00B536C7">
        <w:rPr>
          <w:rFonts w:ascii="Times New Roman" w:hAnsi="Times New Roman"/>
          <w:szCs w:val="18"/>
          <w:lang w:val="en-US"/>
        </w:rPr>
        <w:t>, UCSC, Milan.</w:t>
      </w:r>
    </w:p>
    <w:p w14:paraId="49F0D024" w14:textId="5D62D0F4" w:rsidR="003E57B0" w:rsidRPr="00B536C7" w:rsidRDefault="003E57B0" w:rsidP="00B536C7">
      <w:pPr>
        <w:pStyle w:val="Testo1"/>
        <w:spacing w:before="0" w:line="240" w:lineRule="exact"/>
        <w:ind w:left="0" w:firstLine="0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mallCaps/>
          <w:szCs w:val="18"/>
        </w:rPr>
        <w:t>A. Arcà, A.E.  Fossati, F. Garanzini, F. Rubat Borel</w:t>
      </w:r>
      <w:r w:rsidRPr="00B536C7">
        <w:rPr>
          <w:rFonts w:ascii="Times New Roman" w:hAnsi="Times New Roman"/>
          <w:szCs w:val="18"/>
        </w:rPr>
        <w:t xml:space="preserve">, </w:t>
      </w:r>
      <w:r w:rsidRPr="00B536C7">
        <w:rPr>
          <w:rFonts w:ascii="Times New Roman" w:hAnsi="Times New Roman"/>
          <w:i/>
          <w:iCs/>
          <w:szCs w:val="18"/>
        </w:rPr>
        <w:t>La Balma dei Cervi di Crodo e le pitture rupestri dell’Ossola: documentazione, analisi e studio</w:t>
      </w:r>
      <w:r w:rsidRPr="00B536C7">
        <w:rPr>
          <w:rFonts w:ascii="Times New Roman" w:hAnsi="Times New Roman"/>
          <w:szCs w:val="18"/>
        </w:rPr>
        <w:t xml:space="preserve">, in </w:t>
      </w:r>
      <w:r w:rsidRPr="00B536C7">
        <w:rPr>
          <w:rFonts w:ascii="Times New Roman" w:hAnsi="Times New Roman"/>
          <w:i/>
          <w:iCs/>
          <w:szCs w:val="18"/>
        </w:rPr>
        <w:t>Rivista di Scienze Preistoriche</w:t>
      </w:r>
      <w:r w:rsidRPr="00B536C7">
        <w:rPr>
          <w:rFonts w:ascii="Times New Roman" w:hAnsi="Times New Roman"/>
          <w:szCs w:val="18"/>
        </w:rPr>
        <w:t xml:space="preserve"> vol. 2022 (LXXII - S2), pp. 393-409.</w:t>
      </w:r>
    </w:p>
    <w:p w14:paraId="4AB66803" w14:textId="587C6739" w:rsidR="009438B9" w:rsidRPr="00B536C7" w:rsidRDefault="009438B9" w:rsidP="00B536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rPr>
          <w:sz w:val="18"/>
          <w:szCs w:val="18"/>
        </w:rPr>
      </w:pPr>
      <w:r w:rsidRPr="00B536C7">
        <w:rPr>
          <w:smallCaps/>
          <w:sz w:val="18"/>
          <w:szCs w:val="18"/>
        </w:rPr>
        <w:t>D. Daudry, A.E. Fossati, M. Giorgi</w:t>
      </w:r>
      <w:r w:rsidRPr="00B536C7">
        <w:rPr>
          <w:sz w:val="18"/>
          <w:szCs w:val="18"/>
        </w:rPr>
        <w:t xml:space="preserve">, </w:t>
      </w:r>
      <w:r w:rsidRPr="00B536C7">
        <w:rPr>
          <w:i/>
          <w:sz w:val="18"/>
          <w:szCs w:val="18"/>
        </w:rPr>
        <w:t xml:space="preserve">Il Mont </w:t>
      </w:r>
      <w:proofErr w:type="spellStart"/>
      <w:r w:rsidRPr="00B536C7">
        <w:rPr>
          <w:i/>
          <w:sz w:val="18"/>
          <w:szCs w:val="18"/>
        </w:rPr>
        <w:t>des</w:t>
      </w:r>
      <w:proofErr w:type="spellEnd"/>
      <w:r w:rsidRPr="00B536C7">
        <w:rPr>
          <w:i/>
          <w:sz w:val="18"/>
          <w:szCs w:val="18"/>
        </w:rPr>
        <w:t xml:space="preserve"> </w:t>
      </w:r>
      <w:proofErr w:type="spellStart"/>
      <w:r w:rsidRPr="00B536C7">
        <w:rPr>
          <w:i/>
          <w:sz w:val="18"/>
          <w:szCs w:val="18"/>
        </w:rPr>
        <w:t>Fourches</w:t>
      </w:r>
      <w:proofErr w:type="spellEnd"/>
      <w:r w:rsidRPr="00B536C7">
        <w:rPr>
          <w:i/>
          <w:sz w:val="18"/>
          <w:szCs w:val="18"/>
        </w:rPr>
        <w:t xml:space="preserve"> di Saint-Vincent, un nuovo complesso di arte rupestre del Neolitico in Valle d'Aosta</w:t>
      </w:r>
      <w:r w:rsidRPr="00B536C7">
        <w:rPr>
          <w:sz w:val="18"/>
          <w:szCs w:val="18"/>
        </w:rPr>
        <w:t xml:space="preserve"> in </w:t>
      </w:r>
      <w:proofErr w:type="spellStart"/>
      <w:r w:rsidRPr="00B536C7">
        <w:rPr>
          <w:i/>
          <w:iCs/>
          <w:sz w:val="18"/>
          <w:szCs w:val="18"/>
        </w:rPr>
        <w:t>Bulletin</w:t>
      </w:r>
      <w:proofErr w:type="spellEnd"/>
      <w:r w:rsidRPr="00B536C7">
        <w:rPr>
          <w:i/>
          <w:iCs/>
          <w:sz w:val="18"/>
          <w:szCs w:val="18"/>
        </w:rPr>
        <w:t xml:space="preserve"> </w:t>
      </w:r>
      <w:proofErr w:type="spellStart"/>
      <w:r w:rsidRPr="00B536C7">
        <w:rPr>
          <w:i/>
          <w:iCs/>
          <w:sz w:val="18"/>
          <w:szCs w:val="18"/>
        </w:rPr>
        <w:t>du</w:t>
      </w:r>
      <w:proofErr w:type="spellEnd"/>
      <w:r w:rsidRPr="00B536C7">
        <w:rPr>
          <w:i/>
          <w:iCs/>
          <w:sz w:val="18"/>
          <w:szCs w:val="18"/>
        </w:rPr>
        <w:t xml:space="preserve"> Musee d'</w:t>
      </w:r>
      <w:proofErr w:type="spellStart"/>
      <w:r w:rsidRPr="00B536C7">
        <w:rPr>
          <w:i/>
          <w:iCs/>
          <w:sz w:val="18"/>
          <w:szCs w:val="18"/>
        </w:rPr>
        <w:t>anthropologie</w:t>
      </w:r>
      <w:proofErr w:type="spellEnd"/>
      <w:r w:rsidRPr="00B536C7">
        <w:rPr>
          <w:i/>
          <w:iCs/>
          <w:sz w:val="18"/>
          <w:szCs w:val="18"/>
        </w:rPr>
        <w:t xml:space="preserve"> </w:t>
      </w:r>
      <w:proofErr w:type="spellStart"/>
      <w:r w:rsidRPr="00B536C7">
        <w:rPr>
          <w:i/>
          <w:iCs/>
          <w:sz w:val="18"/>
          <w:szCs w:val="18"/>
        </w:rPr>
        <w:t>Prehistorique</w:t>
      </w:r>
      <w:proofErr w:type="spellEnd"/>
      <w:r w:rsidRPr="00B536C7">
        <w:rPr>
          <w:i/>
          <w:iCs/>
          <w:sz w:val="18"/>
          <w:szCs w:val="18"/>
        </w:rPr>
        <w:t xml:space="preserve"> de Monaco</w:t>
      </w:r>
      <w:r w:rsidRPr="00B536C7">
        <w:rPr>
          <w:sz w:val="18"/>
          <w:szCs w:val="18"/>
        </w:rPr>
        <w:t>, 60, pp. 149-166.</w:t>
      </w:r>
    </w:p>
    <w:p w14:paraId="34FB5CFF" w14:textId="7F37B373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pacing w:val="-5"/>
          <w:szCs w:val="18"/>
        </w:rPr>
      </w:pPr>
      <w:r w:rsidRPr="00B536C7">
        <w:rPr>
          <w:rFonts w:ascii="Times New Roman" w:hAnsi="Times New Roman"/>
          <w:spacing w:val="-5"/>
          <w:szCs w:val="18"/>
        </w:rPr>
        <w:t xml:space="preserve">Ulteriori indicazioni bibliografiche sia per la parte generale che per quella monografica verranno fornite durante il corso. </w:t>
      </w:r>
    </w:p>
    <w:p w14:paraId="2A2B6E3E" w14:textId="089BDBCC" w:rsidR="0099171E" w:rsidRDefault="0099171E" w:rsidP="00B536C7">
      <w:pPr>
        <w:pStyle w:val="Testo2"/>
        <w:spacing w:line="240" w:lineRule="exact"/>
        <w:rPr>
          <w:rFonts w:ascii="Times New Roman" w:hAnsi="Times New Roman"/>
          <w:sz w:val="24"/>
          <w:szCs w:val="24"/>
        </w:rPr>
      </w:pPr>
      <w:r w:rsidRPr="00B536C7">
        <w:rPr>
          <w:rFonts w:ascii="Times New Roman" w:hAnsi="Times New Roman"/>
          <w:szCs w:val="18"/>
        </w:rPr>
        <w:t>Al termine delle lezioni gli studenti potranno recuperare gran parte del materiale di studio dalla piattaforma Blackboard</w:t>
      </w:r>
      <w:r w:rsidRPr="0099171E">
        <w:rPr>
          <w:rFonts w:ascii="Times New Roman" w:hAnsi="Times New Roman"/>
          <w:sz w:val="24"/>
          <w:szCs w:val="24"/>
        </w:rPr>
        <w:t>.</w:t>
      </w:r>
    </w:p>
    <w:p w14:paraId="5F30FE90" w14:textId="77777777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t>DIDATTICA DEL CORSO</w:t>
      </w:r>
    </w:p>
    <w:p w14:paraId="75A2C36F" w14:textId="32D89734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>Lezioni in aula con proiezioni di immagini. Visite di studio presso parchi archeologici, musei e monumenti relativi al programma; incontri seminariali con studiosi specialisti.</w:t>
      </w:r>
    </w:p>
    <w:p w14:paraId="00307376" w14:textId="77777777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t>METODO E CRITERI DI VALUTAZIONE</w:t>
      </w:r>
    </w:p>
    <w:p w14:paraId="5DCA2C57" w14:textId="2F164CB5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lastRenderedPageBreak/>
        <w:t>La valutazione della preparazione avviene tramite un esame orale, in cui viene valutata l’acquisizione dei contenuti esposti nelle lezioni e nella bibliografia indicata. L’esame consiste in una serie di domande concernenti il programma generale e la parte monografica.</w:t>
      </w:r>
    </w:p>
    <w:p w14:paraId="3013E178" w14:textId="7D566871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 xml:space="preserve">Un breve elaborato scritto (proposto dall’esaminando su uno degli argomenti del corso) discusso con il docente, potrà contribuire alla valutazione della preparazione. </w:t>
      </w:r>
    </w:p>
    <w:p w14:paraId="05BD94FC" w14:textId="77777777" w:rsidR="0099171E" w:rsidRPr="00B536C7" w:rsidRDefault="0099171E" w:rsidP="00B536C7">
      <w:pPr>
        <w:spacing w:before="240" w:after="120" w:line="240" w:lineRule="exact"/>
        <w:rPr>
          <w:b/>
          <w:i/>
          <w:sz w:val="18"/>
          <w:szCs w:val="18"/>
        </w:rPr>
      </w:pPr>
      <w:r w:rsidRPr="00B536C7">
        <w:rPr>
          <w:b/>
          <w:i/>
          <w:sz w:val="18"/>
          <w:szCs w:val="18"/>
        </w:rPr>
        <w:t>AVVERTENZE E PREREQUISITI</w:t>
      </w:r>
    </w:p>
    <w:p w14:paraId="55093999" w14:textId="77777777" w:rsidR="0099171E" w:rsidRPr="00B536C7" w:rsidRDefault="0099171E" w:rsidP="00B536C7">
      <w:pPr>
        <w:tabs>
          <w:tab w:val="clear" w:pos="284"/>
        </w:tabs>
        <w:spacing w:line="240" w:lineRule="exact"/>
        <w:ind w:firstLine="284"/>
        <w:rPr>
          <w:i/>
          <w:noProof/>
          <w:sz w:val="18"/>
          <w:szCs w:val="18"/>
        </w:rPr>
      </w:pPr>
      <w:r w:rsidRPr="00B536C7">
        <w:rPr>
          <w:i/>
          <w:noProof/>
          <w:sz w:val="18"/>
          <w:szCs w:val="18"/>
        </w:rPr>
        <w:t>Prerequisti</w:t>
      </w:r>
    </w:p>
    <w:p w14:paraId="5DF3894F" w14:textId="093445CB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>Poiché il corso ha un carattere introduttivo agli studenti è richiesta una conoscenza di base dei processi storici, e una certa dose di curiosità intellettuale. Eventuali lacune saranno colmate durante le lezioni mediante specifici interventi.</w:t>
      </w:r>
    </w:p>
    <w:p w14:paraId="62E776A9" w14:textId="77777777" w:rsidR="0099171E" w:rsidRPr="00B536C7" w:rsidRDefault="0099171E" w:rsidP="00B536C7">
      <w:pPr>
        <w:pStyle w:val="Testo2"/>
        <w:spacing w:before="120"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i/>
          <w:szCs w:val="18"/>
        </w:rPr>
        <w:t>Orario e luogo di ricevimento</w:t>
      </w:r>
    </w:p>
    <w:p w14:paraId="64C01EDD" w14:textId="1B57EDFD" w:rsidR="0099171E" w:rsidRPr="00B536C7" w:rsidRDefault="0099171E" w:rsidP="00B536C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536C7">
        <w:rPr>
          <w:rFonts w:ascii="Times New Roman" w:hAnsi="Times New Roman"/>
          <w:szCs w:val="18"/>
        </w:rPr>
        <w:t>Il Prof. Angelo Eugenio Fossati (</w:t>
      </w:r>
      <w:r w:rsidRPr="00B536C7">
        <w:rPr>
          <w:rFonts w:ascii="Times New Roman" w:hAnsi="Times New Roman"/>
          <w:i/>
          <w:szCs w:val="18"/>
        </w:rPr>
        <w:t>angelo.fossati@unicatt.it</w:t>
      </w:r>
      <w:r w:rsidRPr="00B536C7">
        <w:rPr>
          <w:rFonts w:ascii="Times New Roman" w:hAnsi="Times New Roman"/>
          <w:szCs w:val="18"/>
        </w:rPr>
        <w:t xml:space="preserve">) riceve gli studenti prima e dopo le lezioni e previo appuntamento </w:t>
      </w:r>
      <w:r w:rsidR="003E57B0" w:rsidRPr="00B536C7">
        <w:rPr>
          <w:rFonts w:ascii="Times New Roman" w:hAnsi="Times New Roman"/>
          <w:szCs w:val="18"/>
        </w:rPr>
        <w:t xml:space="preserve">concordato via e-mail </w:t>
      </w:r>
      <w:r w:rsidRPr="00B536C7">
        <w:rPr>
          <w:rFonts w:ascii="Times New Roman" w:hAnsi="Times New Roman"/>
          <w:szCs w:val="18"/>
        </w:rPr>
        <w:t>presso l’ufficio dei professori a contratto della Sezione di Archeologia del Dipartimento di Storia, Archeologia, Storia dell’Arte.</w:t>
      </w:r>
    </w:p>
    <w:p w14:paraId="0ECC14E5" w14:textId="77777777" w:rsidR="00FC3684" w:rsidRPr="00B536C7" w:rsidRDefault="00FC3684" w:rsidP="00B536C7">
      <w:pPr>
        <w:spacing w:line="240" w:lineRule="exact"/>
        <w:rPr>
          <w:sz w:val="18"/>
          <w:szCs w:val="18"/>
        </w:rPr>
      </w:pPr>
    </w:p>
    <w:sectPr w:rsidR="00FC3684" w:rsidRPr="00B536C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4983" w14:textId="77777777" w:rsidR="001D499F" w:rsidRDefault="001D499F" w:rsidP="00F87D02">
      <w:pPr>
        <w:spacing w:line="240" w:lineRule="auto"/>
      </w:pPr>
      <w:r>
        <w:separator/>
      </w:r>
    </w:p>
  </w:endnote>
  <w:endnote w:type="continuationSeparator" w:id="0">
    <w:p w14:paraId="6D6804FB" w14:textId="77777777" w:rsidR="001D499F" w:rsidRDefault="001D499F" w:rsidP="00F8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1C3D" w14:textId="77777777" w:rsidR="001D499F" w:rsidRDefault="001D499F" w:rsidP="00F87D02">
      <w:pPr>
        <w:spacing w:line="240" w:lineRule="auto"/>
      </w:pPr>
      <w:r>
        <w:separator/>
      </w:r>
    </w:p>
  </w:footnote>
  <w:footnote w:type="continuationSeparator" w:id="0">
    <w:p w14:paraId="7595138E" w14:textId="77777777" w:rsidR="001D499F" w:rsidRDefault="001D499F" w:rsidP="00F87D02">
      <w:pPr>
        <w:spacing w:line="240" w:lineRule="auto"/>
      </w:pPr>
      <w:r>
        <w:continuationSeparator/>
      </w:r>
    </w:p>
  </w:footnote>
  <w:footnote w:id="1">
    <w:p w14:paraId="1784FD19" w14:textId="77777777" w:rsidR="00F87D02" w:rsidRDefault="00F87D02" w:rsidP="00F87D0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5585FFE" w14:textId="63EE53EA" w:rsidR="00F87D02" w:rsidRDefault="00F87D02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1E"/>
    <w:rsid w:val="001D499F"/>
    <w:rsid w:val="003E57B0"/>
    <w:rsid w:val="00501F1A"/>
    <w:rsid w:val="006B5089"/>
    <w:rsid w:val="00793528"/>
    <w:rsid w:val="0084472A"/>
    <w:rsid w:val="008B16BF"/>
    <w:rsid w:val="008F62A6"/>
    <w:rsid w:val="009438B9"/>
    <w:rsid w:val="0099171E"/>
    <w:rsid w:val="00B536C7"/>
    <w:rsid w:val="00B85045"/>
    <w:rsid w:val="00F87D02"/>
    <w:rsid w:val="00FC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3AA0"/>
  <w15:chartTrackingRefBased/>
  <w15:docId w15:val="{C2043FB1-C584-4686-BF23-082ED05C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71E"/>
    <w:pPr>
      <w:tabs>
        <w:tab w:val="left" w:pos="284"/>
      </w:tabs>
      <w:spacing w:after="0" w:line="220" w:lineRule="exact"/>
      <w:jc w:val="both"/>
    </w:pPr>
    <w:rPr>
      <w:rFonts w:ascii="Times New Roman" w:eastAsia="Times New Roman" w:hAnsi="Times New Roman" w:cs="Times New Roman"/>
      <w:sz w:val="20"/>
      <w:szCs w:val="24"/>
      <w:lang w:val="it-IT" w:eastAsia="it-IT"/>
    </w:rPr>
  </w:style>
  <w:style w:type="paragraph" w:styleId="Titolo1">
    <w:name w:val="heading 1"/>
    <w:next w:val="Titolo2"/>
    <w:link w:val="Titolo1Carattere"/>
    <w:qFormat/>
    <w:rsid w:val="0099171E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val="it-IT" w:eastAsia="it-IT"/>
    </w:rPr>
  </w:style>
  <w:style w:type="paragraph" w:styleId="Titolo2">
    <w:name w:val="heading 2"/>
    <w:next w:val="Titolo3"/>
    <w:link w:val="Titolo2Carattere"/>
    <w:qFormat/>
    <w:rsid w:val="0099171E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17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9171E"/>
    <w:rPr>
      <w:rFonts w:ascii="Times" w:eastAsia="Times New Roman" w:hAnsi="Times" w:cs="Times New Roman"/>
      <w:b/>
      <w:noProof/>
      <w:sz w:val="20"/>
      <w:szCs w:val="20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rsid w:val="0099171E"/>
    <w:rPr>
      <w:rFonts w:ascii="Times" w:eastAsia="Times New Roman" w:hAnsi="Times" w:cs="Times New Roman"/>
      <w:smallCaps/>
      <w:noProof/>
      <w:sz w:val="18"/>
      <w:szCs w:val="20"/>
      <w:lang w:val="it-IT" w:eastAsia="it-IT"/>
    </w:rPr>
  </w:style>
  <w:style w:type="paragraph" w:customStyle="1" w:styleId="Testo1">
    <w:name w:val="Testo 1"/>
    <w:uiPriority w:val="99"/>
    <w:rsid w:val="0099171E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val="it-IT" w:eastAsia="it-IT"/>
    </w:rPr>
  </w:style>
  <w:style w:type="paragraph" w:customStyle="1" w:styleId="Testo2">
    <w:name w:val="Testo 2"/>
    <w:rsid w:val="0099171E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171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87D0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87D02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87D02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87D0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2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7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97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9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4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rgio-manzi/antenati-lucy-e-altri-racconti-dal-tempo-profondo-9788815388018-73125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colin-renfrew-paul-bahn/archeologia-teoria-metodi-e-pratica-9788808820730-54942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3C357-EC8C-41AD-BAD0-D2D3EE3D35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Fossati Angelo Eugenio (angelo.fossati)</dc:creator>
  <cp:keywords/>
  <dc:description/>
  <cp:lastModifiedBy>Locci Amedeo</cp:lastModifiedBy>
  <cp:revision>4</cp:revision>
  <dcterms:created xsi:type="dcterms:W3CDTF">2026-06-02T15:45:00Z</dcterms:created>
  <dcterms:modified xsi:type="dcterms:W3CDTF">2026-07-13T13:27:00Z</dcterms:modified>
</cp:coreProperties>
</file>