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3C2F" w14:textId="77777777" w:rsidR="00586429" w:rsidRPr="00CD69F4" w:rsidRDefault="00586429" w:rsidP="00586429">
      <w:pPr>
        <w:pStyle w:val="Titolo1"/>
      </w:pPr>
      <w:r w:rsidRPr="00CD69F4">
        <w:t>Iconologia e cultura visuale</w:t>
      </w:r>
    </w:p>
    <w:p w14:paraId="456AB8DB" w14:textId="77777777" w:rsidR="00586429" w:rsidRPr="00A6378C" w:rsidRDefault="00586429" w:rsidP="00A6378C">
      <w:pPr>
        <w:pStyle w:val="Titolo2"/>
      </w:pPr>
      <w:r w:rsidRPr="00A6378C">
        <w:t>Prof. Kevin McManus</w:t>
      </w:r>
    </w:p>
    <w:p w14:paraId="2A4284F9" w14:textId="23920394" w:rsidR="002D5E17" w:rsidRPr="00A6378C" w:rsidRDefault="00586429" w:rsidP="00586429">
      <w:pPr>
        <w:spacing w:before="240" w:after="120" w:line="240" w:lineRule="exact"/>
        <w:rPr>
          <w:b/>
          <w:sz w:val="18"/>
          <w:szCs w:val="18"/>
        </w:rPr>
      </w:pPr>
      <w:r w:rsidRPr="00A6378C">
        <w:rPr>
          <w:b/>
          <w:i/>
          <w:sz w:val="18"/>
          <w:szCs w:val="18"/>
        </w:rPr>
        <w:t>OBIETTIVO DEL CORSO E RISULTATI DI APPRENDIMENTO ATTESI</w:t>
      </w:r>
    </w:p>
    <w:p w14:paraId="54F40F02" w14:textId="77777777" w:rsidR="00586429" w:rsidRPr="00CD69F4" w:rsidRDefault="00586429" w:rsidP="004C5294">
      <w:pPr>
        <w:spacing w:line="240" w:lineRule="exact"/>
        <w:rPr>
          <w:szCs w:val="20"/>
        </w:rPr>
      </w:pPr>
      <w:r w:rsidRPr="00CD69F4">
        <w:rPr>
          <w:szCs w:val="20"/>
        </w:rPr>
        <w:t>Il corso si propone di fornire competenze specifiche sulla metodologia di lettura delle immagini e sul loro ruolo nella storia della cultura, ma anche sulla posizione particolare dell’immagine artistica nell’ambito più ampio della visualità. Durante il corso si metterà in atto un processo di analisi e di interrogazione dell’immagine: proprio per questo è caldamente consigliata la frequenza delle lezioni.</w:t>
      </w:r>
    </w:p>
    <w:p w14:paraId="31F0B5AA" w14:textId="77777777" w:rsidR="00586429" w:rsidRPr="00CD69F4" w:rsidRDefault="00586429" w:rsidP="004C5294">
      <w:pPr>
        <w:spacing w:line="240" w:lineRule="exact"/>
        <w:rPr>
          <w:szCs w:val="20"/>
        </w:rPr>
      </w:pPr>
      <w:r w:rsidRPr="00CD69F4">
        <w:rPr>
          <w:szCs w:val="20"/>
        </w:rPr>
        <w:t>Al termine dell’insegnamento, lo studente sarà in grado di leggere l’esperienza visuale attraverso l’analisi delle sue componenti (immagine, sguardo, forme e processi di mediazione). L’utilità di questa competenza riguarda tanto gli studenti di Storia dell’Arte, che saranno allenati nella lettura dell’opera dal punto di vista iconologico, ma anche a coloro che avranno a che fare con le immagini in altri ambiti di studio, come ad esempio la letteratura, la filosofia, o la psicologia.</w:t>
      </w:r>
    </w:p>
    <w:p w14:paraId="7A7610D9" w14:textId="77777777" w:rsidR="00586429" w:rsidRPr="00A6378C" w:rsidRDefault="00586429" w:rsidP="004C5294">
      <w:pPr>
        <w:spacing w:before="240" w:after="120" w:line="240" w:lineRule="exact"/>
        <w:rPr>
          <w:b/>
          <w:sz w:val="18"/>
          <w:szCs w:val="18"/>
        </w:rPr>
      </w:pPr>
      <w:r w:rsidRPr="00A6378C">
        <w:rPr>
          <w:b/>
          <w:i/>
          <w:sz w:val="18"/>
          <w:szCs w:val="18"/>
        </w:rPr>
        <w:t>PROGRAMMA DEL CORSO</w:t>
      </w:r>
    </w:p>
    <w:p w14:paraId="1E7149B9" w14:textId="77777777" w:rsidR="00586429" w:rsidRPr="00CD69F4" w:rsidRDefault="00586429" w:rsidP="004C5294">
      <w:pPr>
        <w:spacing w:line="240" w:lineRule="exact"/>
        <w:rPr>
          <w:szCs w:val="20"/>
        </w:rPr>
      </w:pPr>
      <w:r w:rsidRPr="00CD69F4">
        <w:rPr>
          <w:szCs w:val="20"/>
        </w:rPr>
        <w:t>Il corso sarà suddiviso in due parti:</w:t>
      </w:r>
    </w:p>
    <w:p w14:paraId="47A0D378" w14:textId="77777777" w:rsidR="00B773F4" w:rsidRDefault="00B773F4" w:rsidP="004C5294">
      <w:pPr>
        <w:spacing w:line="240" w:lineRule="exact"/>
        <w:rPr>
          <w:szCs w:val="20"/>
        </w:rPr>
      </w:pPr>
    </w:p>
    <w:p w14:paraId="7B25FF77" w14:textId="1DD320DF" w:rsidR="00586429" w:rsidRPr="00CD69F4" w:rsidRDefault="004C5294" w:rsidP="004C5294">
      <w:pPr>
        <w:spacing w:line="240" w:lineRule="exact"/>
        <w:rPr>
          <w:szCs w:val="20"/>
        </w:rPr>
      </w:pPr>
      <w:r w:rsidRPr="00CD69F4">
        <w:rPr>
          <w:szCs w:val="20"/>
        </w:rPr>
        <w:t>1.</w:t>
      </w:r>
      <w:r w:rsidRPr="00CD69F4">
        <w:rPr>
          <w:szCs w:val="20"/>
        </w:rPr>
        <w:tab/>
      </w:r>
      <w:r w:rsidR="00586429" w:rsidRPr="00CD69F4">
        <w:rPr>
          <w:szCs w:val="20"/>
        </w:rPr>
        <w:t>Cultura visuale</w:t>
      </w:r>
      <w:r w:rsidR="004D6238" w:rsidRPr="00CD69F4">
        <w:rPr>
          <w:szCs w:val="20"/>
        </w:rPr>
        <w:t xml:space="preserve"> e iconologia</w:t>
      </w:r>
      <w:r w:rsidR="00586429" w:rsidRPr="00CD69F4">
        <w:rPr>
          <w:szCs w:val="20"/>
        </w:rPr>
        <w:t xml:space="preserve">. </w:t>
      </w:r>
      <w:r w:rsidR="004D6238" w:rsidRPr="00CD69F4">
        <w:rPr>
          <w:szCs w:val="20"/>
        </w:rPr>
        <w:t>Un’introduzione</w:t>
      </w:r>
    </w:p>
    <w:p w14:paraId="7BC68072" w14:textId="7125F441" w:rsidR="00586429" w:rsidRDefault="004C5294" w:rsidP="004C5294">
      <w:pPr>
        <w:spacing w:line="240" w:lineRule="exact"/>
      </w:pPr>
      <w:r w:rsidRPr="00CD69F4">
        <w:rPr>
          <w:szCs w:val="20"/>
        </w:rPr>
        <w:t>2.</w:t>
      </w:r>
      <w:r w:rsidRPr="00CD69F4">
        <w:rPr>
          <w:szCs w:val="20"/>
        </w:rPr>
        <w:tab/>
      </w:r>
      <w:r w:rsidR="00690286">
        <w:rPr>
          <w:i/>
        </w:rPr>
        <w:t>La soglia dell’immagine.</w:t>
      </w:r>
      <w:r w:rsidR="00690286" w:rsidRPr="00AC3D8A">
        <w:t xml:space="preserve"> </w:t>
      </w:r>
      <w:r w:rsidR="00690286">
        <w:t>Vicende della cornice nella cultura visuale e nelle arti.</w:t>
      </w:r>
    </w:p>
    <w:p w14:paraId="2EC5C51B" w14:textId="77777777" w:rsidR="004A405B" w:rsidRPr="00CD69F4" w:rsidRDefault="004A405B" w:rsidP="004C5294">
      <w:pPr>
        <w:spacing w:line="240" w:lineRule="exact"/>
        <w:rPr>
          <w:iCs/>
          <w:szCs w:val="20"/>
        </w:rPr>
      </w:pPr>
    </w:p>
    <w:p w14:paraId="093A9E50" w14:textId="3F9EB0A8" w:rsidR="00586429" w:rsidRPr="00CD69F4" w:rsidRDefault="00586429" w:rsidP="004C5294">
      <w:pPr>
        <w:spacing w:line="240" w:lineRule="exact"/>
        <w:rPr>
          <w:szCs w:val="20"/>
        </w:rPr>
      </w:pPr>
      <w:r w:rsidRPr="00CD69F4">
        <w:rPr>
          <w:szCs w:val="20"/>
        </w:rPr>
        <w:t xml:space="preserve">La prima parte, più breve, sarà dedicata a una presentazione della disciplina e di alcuni suoi concetti chiave. </w:t>
      </w:r>
      <w:r w:rsidR="007B7702" w:rsidRPr="00CD69F4">
        <w:rPr>
          <w:szCs w:val="20"/>
        </w:rPr>
        <w:t xml:space="preserve">La seconda parte, più ampia, consentirà di </w:t>
      </w:r>
      <w:r w:rsidR="00822A4F">
        <w:rPr>
          <w:szCs w:val="20"/>
        </w:rPr>
        <w:t>mettere in campo</w:t>
      </w:r>
      <w:r w:rsidR="007B7702" w:rsidRPr="00CD69F4">
        <w:rPr>
          <w:szCs w:val="20"/>
        </w:rPr>
        <w:t xml:space="preserve"> la terminologia, i temi e il campo di indagine della disciplina </w:t>
      </w:r>
      <w:r w:rsidR="00822A4F">
        <w:rPr>
          <w:szCs w:val="20"/>
        </w:rPr>
        <w:t>attraverso la trattazione di un tema specifico</w:t>
      </w:r>
      <w:r w:rsidR="00690286">
        <w:rPr>
          <w:szCs w:val="20"/>
        </w:rPr>
        <w:t>:</w:t>
      </w:r>
      <w:r w:rsidR="00822A4F">
        <w:rPr>
          <w:szCs w:val="20"/>
        </w:rPr>
        <w:t xml:space="preserve"> </w:t>
      </w:r>
      <w:r w:rsidR="00690286">
        <w:rPr>
          <w:szCs w:val="20"/>
        </w:rPr>
        <w:t>a</w:t>
      </w:r>
      <w:r w:rsidR="007838AB">
        <w:rPr>
          <w:szCs w:val="20"/>
        </w:rPr>
        <w:t xml:space="preserve"> partire dal</w:t>
      </w:r>
      <w:r w:rsidR="00690286">
        <w:rPr>
          <w:szCs w:val="20"/>
        </w:rPr>
        <w:t>la</w:t>
      </w:r>
      <w:r w:rsidR="007838AB">
        <w:rPr>
          <w:szCs w:val="20"/>
        </w:rPr>
        <w:t xml:space="preserve"> </w:t>
      </w:r>
      <w:r w:rsidR="00690286">
        <w:rPr>
          <w:szCs w:val="20"/>
        </w:rPr>
        <w:t>definizione del dispositivo della</w:t>
      </w:r>
      <w:r w:rsidR="007838AB">
        <w:rPr>
          <w:szCs w:val="20"/>
        </w:rPr>
        <w:t xml:space="preserve"> «</w:t>
      </w:r>
      <w:r w:rsidR="00690286">
        <w:rPr>
          <w:szCs w:val="20"/>
        </w:rPr>
        <w:t>cornice</w:t>
      </w:r>
      <w:r w:rsidR="007838AB">
        <w:rPr>
          <w:szCs w:val="20"/>
        </w:rPr>
        <w:t>»</w:t>
      </w:r>
      <w:r w:rsidR="00BC1756">
        <w:rPr>
          <w:szCs w:val="20"/>
        </w:rPr>
        <w:t xml:space="preserve">, </w:t>
      </w:r>
      <w:r w:rsidR="00690286">
        <w:rPr>
          <w:szCs w:val="20"/>
        </w:rPr>
        <w:t xml:space="preserve">intesa sia come elemento materiale che come limite dello spazio dell’immagine, si vedranno alcuni casi storici in cui il rapporto tra contenuto iconico e cornice è messo a tema </w:t>
      </w:r>
      <w:r w:rsidR="00D138F2">
        <w:rPr>
          <w:szCs w:val="20"/>
        </w:rPr>
        <w:t xml:space="preserve">specificamente, </w:t>
      </w:r>
      <w:r w:rsidR="00690286">
        <w:rPr>
          <w:szCs w:val="20"/>
        </w:rPr>
        <w:t>allo scopo (o con il risultato) di mettere alla prova l’idea stessa di immagine e della sua presenza nel mondo. Nell’ambito della contemporaneità, si vedrà come proprio l’abolizione – o presunta tale – della cornice contribuisca a una ricerca del non-iconico che trova ampia espressione nelle pratiche mediali immersive</w:t>
      </w:r>
      <w:r w:rsidR="0098424C">
        <w:rPr>
          <w:szCs w:val="20"/>
        </w:rPr>
        <w:t xml:space="preserve"> e nella realtà virtuale</w:t>
      </w:r>
      <w:r w:rsidR="00690286">
        <w:rPr>
          <w:szCs w:val="20"/>
        </w:rPr>
        <w:t>.</w:t>
      </w:r>
    </w:p>
    <w:p w14:paraId="28D81125" w14:textId="0E5582DB" w:rsidR="00586429" w:rsidRPr="00CD69F4" w:rsidRDefault="00586429" w:rsidP="004C5294">
      <w:pPr>
        <w:spacing w:before="240" w:after="120" w:line="240" w:lineRule="exact"/>
        <w:rPr>
          <w:b/>
          <w:i/>
          <w:szCs w:val="20"/>
        </w:rPr>
      </w:pPr>
      <w:r w:rsidRPr="00CD69F4">
        <w:rPr>
          <w:b/>
          <w:i/>
          <w:szCs w:val="20"/>
        </w:rPr>
        <w:lastRenderedPageBreak/>
        <w:t>BIBLIOGRAFIA</w:t>
      </w:r>
      <w:r w:rsidR="003571F0">
        <w:rPr>
          <w:rStyle w:val="Rimandonotaapidipagina"/>
          <w:b/>
          <w:i/>
          <w:szCs w:val="20"/>
        </w:rPr>
        <w:footnoteReference w:id="1"/>
      </w:r>
    </w:p>
    <w:p w14:paraId="0416871F" w14:textId="7711A9A6" w:rsidR="00586429" w:rsidRPr="00A6378C" w:rsidRDefault="00586429" w:rsidP="00586429">
      <w:pPr>
        <w:pStyle w:val="Testo1"/>
        <w:rPr>
          <w:szCs w:val="18"/>
        </w:rPr>
      </w:pPr>
      <w:r w:rsidRPr="00A6378C">
        <w:rPr>
          <w:szCs w:val="18"/>
        </w:rPr>
        <w:t>Per il punto 1</w:t>
      </w:r>
      <w:r w:rsidR="004A405B">
        <w:rPr>
          <w:szCs w:val="18"/>
        </w:rPr>
        <w:t>, oltre agli appunti delle lezioni</w:t>
      </w:r>
      <w:r w:rsidRPr="00A6378C">
        <w:rPr>
          <w:szCs w:val="18"/>
        </w:rPr>
        <w:t>:</w:t>
      </w:r>
    </w:p>
    <w:p w14:paraId="54DFC9FE" w14:textId="017EC1F3" w:rsidR="00611B0D" w:rsidRPr="00A6378C" w:rsidRDefault="00611B0D" w:rsidP="00611B0D">
      <w:pPr>
        <w:pStyle w:val="Testo1"/>
        <w:spacing w:before="0" w:line="240" w:lineRule="atLeast"/>
        <w:rPr>
          <w:szCs w:val="18"/>
        </w:rPr>
      </w:pPr>
      <w:r w:rsidRPr="00A6378C">
        <w:rPr>
          <w:smallCaps/>
          <w:spacing w:val="-5"/>
          <w:szCs w:val="18"/>
        </w:rPr>
        <w:t>P. Burke</w:t>
      </w:r>
      <w:r w:rsidRPr="00A6378C">
        <w:rPr>
          <w:spacing w:val="-5"/>
          <w:szCs w:val="18"/>
        </w:rPr>
        <w:t>,</w:t>
      </w:r>
      <w:r w:rsidRPr="00A6378C">
        <w:rPr>
          <w:i/>
          <w:spacing w:val="-5"/>
          <w:szCs w:val="18"/>
        </w:rPr>
        <w:t xml:space="preserve"> Testimoni oculari. Il significato storico delle immagini,</w:t>
      </w:r>
      <w:r w:rsidRPr="00A6378C">
        <w:rPr>
          <w:spacing w:val="-5"/>
          <w:szCs w:val="18"/>
        </w:rPr>
        <w:t xml:space="preserve"> Carocci, Roma, 2002, capp. 2 e 10.</w:t>
      </w:r>
      <w:r w:rsidR="003571F0" w:rsidRPr="003571F0">
        <w:t xml:space="preserve"> </w:t>
      </w:r>
      <w:hyperlink r:id="rId7" w:history="1">
        <w:r w:rsidR="003571F0" w:rsidRPr="003571F0">
          <w:rPr>
            <w:rStyle w:val="Collegamentoipertestuale"/>
            <w:spacing w:val="-5"/>
            <w:szCs w:val="18"/>
          </w:rPr>
          <w:t>Acquista da VP</w:t>
        </w:r>
      </w:hyperlink>
    </w:p>
    <w:p w14:paraId="2AF11D88" w14:textId="45BDB1EA" w:rsidR="00777F96" w:rsidRPr="00A6378C" w:rsidRDefault="00777F96" w:rsidP="00586429">
      <w:pPr>
        <w:pStyle w:val="Testo1"/>
        <w:spacing w:before="0" w:line="240" w:lineRule="atLeast"/>
        <w:rPr>
          <w:spacing w:val="-5"/>
          <w:szCs w:val="18"/>
        </w:rPr>
      </w:pPr>
      <w:r w:rsidRPr="00A6378C">
        <w:rPr>
          <w:smallCaps/>
          <w:spacing w:val="-5"/>
          <w:szCs w:val="18"/>
        </w:rPr>
        <w:t xml:space="preserve">A. Pinotti-A. Somaini </w:t>
      </w:r>
      <w:r w:rsidRPr="00A6378C">
        <w:rPr>
          <w:spacing w:val="-5"/>
          <w:szCs w:val="18"/>
        </w:rPr>
        <w:t>(a cura di),</w:t>
      </w:r>
      <w:r w:rsidRPr="00A6378C">
        <w:rPr>
          <w:i/>
          <w:spacing w:val="-5"/>
          <w:szCs w:val="18"/>
        </w:rPr>
        <w:t xml:space="preserve"> Teorie dell’immagine,</w:t>
      </w:r>
      <w:r w:rsidRPr="00A6378C">
        <w:rPr>
          <w:spacing w:val="-5"/>
          <w:szCs w:val="18"/>
        </w:rPr>
        <w:t xml:space="preserve"> Cortina, Milano, 2009, capp. 2 e 3.</w:t>
      </w:r>
      <w:r w:rsidR="003571F0" w:rsidRPr="003571F0">
        <w:t xml:space="preserve"> </w:t>
      </w:r>
      <w:hyperlink r:id="rId8" w:history="1">
        <w:r w:rsidR="003571F0" w:rsidRPr="003571F0">
          <w:rPr>
            <w:rStyle w:val="Collegamentoipertestuale"/>
            <w:spacing w:val="-5"/>
            <w:szCs w:val="18"/>
          </w:rPr>
          <w:t>Acquista da VP</w:t>
        </w:r>
      </w:hyperlink>
    </w:p>
    <w:p w14:paraId="12D3A8CC" w14:textId="34662981" w:rsidR="00586429" w:rsidRPr="00A6378C" w:rsidRDefault="00586429" w:rsidP="00586429">
      <w:pPr>
        <w:pStyle w:val="Testo1"/>
        <w:spacing w:before="0" w:line="240" w:lineRule="atLeast"/>
        <w:rPr>
          <w:spacing w:val="-5"/>
          <w:szCs w:val="18"/>
        </w:rPr>
      </w:pPr>
      <w:r w:rsidRPr="00A6378C">
        <w:rPr>
          <w:smallCaps/>
          <w:spacing w:val="-5"/>
          <w:szCs w:val="18"/>
        </w:rPr>
        <w:t>W.J.T. Mitchell,</w:t>
      </w:r>
      <w:r w:rsidRPr="00A6378C">
        <w:rPr>
          <w:i/>
          <w:spacing w:val="-5"/>
          <w:szCs w:val="18"/>
        </w:rPr>
        <w:t xml:space="preserve"> Pictorial Turn. Saggi di cultura visuale,</w:t>
      </w:r>
      <w:r w:rsidRPr="00A6378C">
        <w:rPr>
          <w:spacing w:val="-5"/>
          <w:szCs w:val="18"/>
        </w:rPr>
        <w:t xml:space="preserve"> a cura di M. Cometa, Cortina, Milano, 2017, capp. 1 e 2.</w:t>
      </w:r>
      <w:r w:rsidR="003571F0" w:rsidRPr="003571F0">
        <w:t xml:space="preserve"> </w:t>
      </w:r>
      <w:hyperlink r:id="rId9" w:history="1">
        <w:r w:rsidR="003571F0" w:rsidRPr="003571F0">
          <w:rPr>
            <w:rStyle w:val="Collegamentoipertestuale"/>
            <w:spacing w:val="-5"/>
            <w:szCs w:val="18"/>
          </w:rPr>
          <w:t>Acquista da VP</w:t>
        </w:r>
      </w:hyperlink>
    </w:p>
    <w:p w14:paraId="5CFF597F" w14:textId="7EC335AB" w:rsidR="00586429" w:rsidRPr="00A6378C" w:rsidRDefault="00586429" w:rsidP="00586429">
      <w:pPr>
        <w:pStyle w:val="Testo1"/>
        <w:rPr>
          <w:szCs w:val="18"/>
        </w:rPr>
      </w:pPr>
      <w:r w:rsidRPr="00A6378C">
        <w:rPr>
          <w:szCs w:val="18"/>
        </w:rPr>
        <w:t>Per il punto 2</w:t>
      </w:r>
      <w:r w:rsidR="00822A4F">
        <w:rPr>
          <w:szCs w:val="18"/>
        </w:rPr>
        <w:t>, oltre agli appunti delle lezioni</w:t>
      </w:r>
      <w:r w:rsidRPr="00A6378C">
        <w:rPr>
          <w:szCs w:val="18"/>
        </w:rPr>
        <w:t>:</w:t>
      </w:r>
    </w:p>
    <w:p w14:paraId="32092674" w14:textId="1E0ACF0F" w:rsidR="00690286" w:rsidRPr="00690286" w:rsidRDefault="00690286" w:rsidP="00690286">
      <w:pPr>
        <w:pStyle w:val="Testo1"/>
        <w:rPr>
          <w:rFonts w:cs="Times"/>
          <w:szCs w:val="18"/>
        </w:rPr>
      </w:pPr>
      <w:r w:rsidRPr="00690286">
        <w:rPr>
          <w:rFonts w:cs="Times"/>
          <w:smallCaps/>
          <w:szCs w:val="18"/>
        </w:rPr>
        <w:t>R. Ferrari-A. Pinotti</w:t>
      </w:r>
      <w:r>
        <w:rPr>
          <w:rFonts w:cs="Times"/>
          <w:szCs w:val="18"/>
        </w:rPr>
        <w:t xml:space="preserve"> (a cura di),</w:t>
      </w:r>
      <w:r w:rsidRPr="00690286">
        <w:rPr>
          <w:rFonts w:cs="Times"/>
          <w:szCs w:val="18"/>
        </w:rPr>
        <w:t xml:space="preserve"> </w:t>
      </w:r>
      <w:r w:rsidRPr="00690286">
        <w:rPr>
          <w:rFonts w:cs="Times"/>
          <w:i/>
          <w:iCs/>
          <w:szCs w:val="18"/>
        </w:rPr>
        <w:t>La cornice. Storie, teorie, testi</w:t>
      </w:r>
      <w:r w:rsidRPr="00690286">
        <w:rPr>
          <w:rFonts w:cs="Times"/>
          <w:szCs w:val="18"/>
        </w:rPr>
        <w:t>, Joahn &amp; Levi, Monza 2018</w:t>
      </w:r>
      <w:r w:rsidR="004A405B">
        <w:rPr>
          <w:rFonts w:cs="Times"/>
          <w:szCs w:val="18"/>
        </w:rPr>
        <w:t>.</w:t>
      </w:r>
      <w:r w:rsidR="003571F0" w:rsidRPr="003571F0">
        <w:t xml:space="preserve"> </w:t>
      </w:r>
      <w:hyperlink r:id="rId10" w:history="1">
        <w:r w:rsidR="003571F0" w:rsidRPr="003571F0">
          <w:rPr>
            <w:rStyle w:val="Collegamentoipertestuale"/>
            <w:rFonts w:cs="Times"/>
            <w:szCs w:val="18"/>
          </w:rPr>
          <w:t>Acquista da VP</w:t>
        </w:r>
      </w:hyperlink>
    </w:p>
    <w:p w14:paraId="17BB88F8" w14:textId="6F25CCE5" w:rsidR="00690286" w:rsidRPr="00AF23BE" w:rsidRDefault="00690286" w:rsidP="00690286">
      <w:pPr>
        <w:ind w:left="284" w:hanging="284"/>
        <w:rPr>
          <w:rFonts w:ascii="Times" w:hAnsi="Times" w:cs="Times"/>
          <w:sz w:val="18"/>
          <w:szCs w:val="18"/>
        </w:rPr>
      </w:pPr>
      <w:r w:rsidRPr="004A405B">
        <w:rPr>
          <w:rFonts w:ascii="Times" w:hAnsi="Times" w:cs="Times"/>
          <w:smallCaps/>
          <w:sz w:val="18"/>
          <w:szCs w:val="18"/>
          <w:lang w:val="en-US"/>
        </w:rPr>
        <w:t>M. Bal</w:t>
      </w:r>
      <w:r w:rsidRPr="00690286">
        <w:rPr>
          <w:rFonts w:ascii="Times" w:hAnsi="Times" w:cs="Times"/>
          <w:sz w:val="18"/>
          <w:szCs w:val="18"/>
          <w:lang w:val="en-US"/>
        </w:rPr>
        <w:t xml:space="preserve">, </w:t>
      </w:r>
      <w:r w:rsidRPr="00690286">
        <w:rPr>
          <w:rFonts w:ascii="Times" w:hAnsi="Times" w:cs="Times"/>
          <w:i/>
          <w:iCs/>
          <w:sz w:val="18"/>
          <w:szCs w:val="18"/>
          <w:lang w:val="en-US"/>
        </w:rPr>
        <w:t>Reading Rembrandt. Beyond the Word-Image Opposition</w:t>
      </w:r>
      <w:r w:rsidRPr="00690286">
        <w:rPr>
          <w:rFonts w:ascii="Times" w:hAnsi="Times" w:cs="Times"/>
          <w:sz w:val="18"/>
          <w:szCs w:val="18"/>
          <w:lang w:val="en-US"/>
        </w:rPr>
        <w:t>, Cambri</w:t>
      </w:r>
      <w:r>
        <w:rPr>
          <w:rFonts w:ascii="Times" w:hAnsi="Times" w:cs="Times"/>
          <w:sz w:val="18"/>
          <w:szCs w:val="18"/>
          <w:lang w:val="en-US"/>
        </w:rPr>
        <w:t>dge University Press, Cambridge</w:t>
      </w:r>
      <w:r w:rsidR="00C6526D">
        <w:rPr>
          <w:rFonts w:ascii="Times" w:hAnsi="Times" w:cs="Times"/>
          <w:sz w:val="18"/>
          <w:szCs w:val="18"/>
          <w:lang w:val="en-US"/>
        </w:rPr>
        <w:t xml:space="preserve"> 1991, </w:t>
      </w:r>
      <w:proofErr w:type="spellStart"/>
      <w:r w:rsidR="00C6526D">
        <w:rPr>
          <w:rFonts w:ascii="Times" w:hAnsi="Times" w:cs="Times"/>
          <w:sz w:val="18"/>
          <w:szCs w:val="18"/>
          <w:lang w:val="en-US"/>
        </w:rPr>
        <w:t>capp</w:t>
      </w:r>
      <w:proofErr w:type="spellEnd"/>
      <w:r w:rsidR="00C6526D">
        <w:rPr>
          <w:rFonts w:ascii="Times" w:hAnsi="Times" w:cs="Times"/>
          <w:sz w:val="18"/>
          <w:szCs w:val="18"/>
          <w:lang w:val="en-US"/>
        </w:rPr>
        <w:t xml:space="preserve">. </w:t>
      </w:r>
      <w:r w:rsidR="00C6526D" w:rsidRPr="00AF23BE">
        <w:rPr>
          <w:rFonts w:ascii="Times" w:hAnsi="Times" w:cs="Times"/>
          <w:sz w:val="18"/>
          <w:szCs w:val="18"/>
        </w:rPr>
        <w:t>6 e 7.</w:t>
      </w:r>
    </w:p>
    <w:p w14:paraId="5E572A13" w14:textId="6C487668" w:rsidR="00C6526D" w:rsidRDefault="00C6526D" w:rsidP="00690286">
      <w:pPr>
        <w:ind w:left="284" w:hanging="284"/>
        <w:rPr>
          <w:rFonts w:ascii="Times" w:hAnsi="Times" w:cs="Times"/>
          <w:i/>
          <w:iCs/>
          <w:sz w:val="18"/>
          <w:szCs w:val="18"/>
        </w:rPr>
      </w:pPr>
      <w:r w:rsidRPr="004A405B">
        <w:rPr>
          <w:rFonts w:ascii="Times" w:hAnsi="Times" w:cs="Times"/>
          <w:smallCaps/>
          <w:sz w:val="18"/>
          <w:szCs w:val="18"/>
        </w:rPr>
        <w:t>A. Pinotti</w:t>
      </w:r>
      <w:r>
        <w:rPr>
          <w:rFonts w:ascii="Times" w:hAnsi="Times" w:cs="Times"/>
          <w:sz w:val="18"/>
          <w:szCs w:val="18"/>
        </w:rPr>
        <w:t xml:space="preserve">, </w:t>
      </w:r>
      <w:r w:rsidRPr="00C6526D">
        <w:rPr>
          <w:rFonts w:ascii="Times" w:hAnsi="Times" w:cs="Times"/>
          <w:i/>
          <w:iCs/>
          <w:sz w:val="18"/>
          <w:szCs w:val="18"/>
        </w:rPr>
        <w:t>Alla soglia dell'immagine. Da Narciso alla realtà virtuale</w:t>
      </w:r>
      <w:r>
        <w:rPr>
          <w:rFonts w:ascii="Times" w:hAnsi="Times" w:cs="Times"/>
          <w:sz w:val="18"/>
          <w:szCs w:val="18"/>
        </w:rPr>
        <w:t xml:space="preserve">, </w:t>
      </w:r>
      <w:r w:rsidRPr="00C6526D">
        <w:rPr>
          <w:rFonts w:ascii="Times" w:hAnsi="Times" w:cs="Times"/>
          <w:sz w:val="18"/>
          <w:szCs w:val="18"/>
        </w:rPr>
        <w:t xml:space="preserve">Einaudi, </w:t>
      </w:r>
      <w:r>
        <w:rPr>
          <w:rFonts w:ascii="Times" w:hAnsi="Times" w:cs="Times"/>
          <w:sz w:val="18"/>
          <w:szCs w:val="18"/>
        </w:rPr>
        <w:t xml:space="preserve">Torino </w:t>
      </w:r>
      <w:r w:rsidRPr="00C6526D">
        <w:rPr>
          <w:rFonts w:ascii="Times" w:hAnsi="Times" w:cs="Times"/>
          <w:sz w:val="18"/>
          <w:szCs w:val="18"/>
        </w:rPr>
        <w:t>2021</w:t>
      </w:r>
      <w:r>
        <w:rPr>
          <w:rFonts w:ascii="Times" w:hAnsi="Times" w:cs="Times"/>
          <w:sz w:val="18"/>
          <w:szCs w:val="18"/>
        </w:rPr>
        <w:t xml:space="preserve"> (parti comunicate a lezione)</w:t>
      </w:r>
      <w:r w:rsidRPr="00C6526D">
        <w:rPr>
          <w:rFonts w:ascii="Times" w:hAnsi="Times" w:cs="Times"/>
          <w:sz w:val="18"/>
          <w:szCs w:val="18"/>
        </w:rPr>
        <w:t>.</w:t>
      </w:r>
      <w:r w:rsidR="003571F0" w:rsidRPr="003571F0">
        <w:t xml:space="preserve"> </w:t>
      </w:r>
      <w:hyperlink r:id="rId11" w:history="1">
        <w:r w:rsidR="003571F0" w:rsidRPr="003571F0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02C770AC" w14:textId="32F351BE" w:rsidR="00C6526D" w:rsidRPr="00C6526D" w:rsidRDefault="00C6526D" w:rsidP="00690286">
      <w:pPr>
        <w:ind w:left="284" w:hanging="284"/>
        <w:rPr>
          <w:szCs w:val="20"/>
        </w:rPr>
      </w:pPr>
      <w:r w:rsidRPr="004A405B">
        <w:rPr>
          <w:rFonts w:ascii="Times" w:hAnsi="Times" w:cs="Times"/>
          <w:smallCaps/>
          <w:sz w:val="18"/>
          <w:szCs w:val="18"/>
        </w:rPr>
        <w:t>D. Quaranta</w:t>
      </w:r>
      <w:r>
        <w:rPr>
          <w:rFonts w:ascii="Times" w:hAnsi="Times" w:cs="Times"/>
          <w:sz w:val="18"/>
          <w:szCs w:val="18"/>
        </w:rPr>
        <w:t xml:space="preserve">, </w:t>
      </w:r>
      <w:proofErr w:type="spellStart"/>
      <w:r w:rsidRPr="00C6526D">
        <w:rPr>
          <w:rFonts w:ascii="Times" w:hAnsi="Times" w:cs="Times"/>
          <w:i/>
          <w:iCs/>
          <w:sz w:val="18"/>
          <w:szCs w:val="18"/>
        </w:rPr>
        <w:t>Daydrea</w:t>
      </w:r>
      <w:r>
        <w:rPr>
          <w:rFonts w:ascii="Times" w:hAnsi="Times" w:cs="Times"/>
          <w:i/>
          <w:iCs/>
          <w:sz w:val="18"/>
          <w:szCs w:val="18"/>
        </w:rPr>
        <w:t>m</w:t>
      </w:r>
      <w:proofErr w:type="spellEnd"/>
      <w:r>
        <w:rPr>
          <w:rFonts w:ascii="Times" w:hAnsi="Times" w:cs="Times"/>
          <w:i/>
          <w:iCs/>
          <w:sz w:val="18"/>
          <w:szCs w:val="18"/>
        </w:rPr>
        <w:t>. Esclusione del reale e flusso di coscienza nella realtà virtuale</w:t>
      </w:r>
      <w:r>
        <w:rPr>
          <w:rFonts w:ascii="Times" w:hAnsi="Times" w:cs="Times"/>
          <w:sz w:val="18"/>
          <w:szCs w:val="18"/>
        </w:rPr>
        <w:t>, «Piano B. Arti e Culture Visive, 6 (1), 2021, 155-177.</w:t>
      </w:r>
      <w:r w:rsidR="003571F0" w:rsidRPr="003571F0">
        <w:t xml:space="preserve"> </w:t>
      </w:r>
    </w:p>
    <w:p w14:paraId="7A555E92" w14:textId="5E839B28" w:rsidR="004A405B" w:rsidRDefault="004A405B" w:rsidP="004A405B">
      <w:pPr>
        <w:ind w:left="284" w:hanging="284"/>
        <w:rPr>
          <w:spacing w:val="-5"/>
          <w:sz w:val="18"/>
          <w:szCs w:val="18"/>
        </w:rPr>
      </w:pPr>
      <w:r w:rsidRPr="00690286">
        <w:rPr>
          <w:rFonts w:ascii="Times" w:hAnsi="Times" w:cs="Times"/>
          <w:smallCaps/>
          <w:sz w:val="18"/>
          <w:szCs w:val="18"/>
        </w:rPr>
        <w:t>F. Tedeschi</w:t>
      </w:r>
      <w:r w:rsidRPr="00690286">
        <w:rPr>
          <w:rFonts w:ascii="Times" w:hAnsi="Times" w:cs="Times"/>
          <w:sz w:val="18"/>
          <w:szCs w:val="18"/>
        </w:rPr>
        <w:t xml:space="preserve">, </w:t>
      </w:r>
      <w:r w:rsidRPr="00690286">
        <w:rPr>
          <w:rFonts w:ascii="Times" w:hAnsi="Times" w:cs="Times"/>
          <w:i/>
          <w:iCs/>
          <w:sz w:val="18"/>
          <w:szCs w:val="18"/>
        </w:rPr>
        <w:t>Luoghi di transizione. Forme e immagini di “passaggio”, fra arte e architettura</w:t>
      </w:r>
      <w:r w:rsidRPr="00690286">
        <w:rPr>
          <w:rFonts w:ascii="Times" w:hAnsi="Times" w:cs="Times"/>
          <w:sz w:val="18"/>
          <w:szCs w:val="18"/>
        </w:rPr>
        <w:t>, Morcelliana (</w:t>
      </w:r>
      <w:proofErr w:type="spellStart"/>
      <w:r w:rsidRPr="00690286">
        <w:rPr>
          <w:rFonts w:ascii="Times" w:hAnsi="Times" w:cs="Times"/>
          <w:sz w:val="18"/>
          <w:szCs w:val="18"/>
        </w:rPr>
        <w:t>Scholé</w:t>
      </w:r>
      <w:proofErr w:type="spellEnd"/>
      <w:r w:rsidRPr="00690286">
        <w:rPr>
          <w:rFonts w:ascii="Times" w:hAnsi="Times" w:cs="Times"/>
          <w:sz w:val="18"/>
          <w:szCs w:val="18"/>
        </w:rPr>
        <w:t>), Brescia 2020</w:t>
      </w:r>
      <w:r>
        <w:rPr>
          <w:rFonts w:ascii="Times" w:hAnsi="Times" w:cs="Times"/>
          <w:sz w:val="18"/>
          <w:szCs w:val="18"/>
        </w:rPr>
        <w:t xml:space="preserve"> (parti comunicate a lezione).</w:t>
      </w:r>
      <w:r w:rsidR="003571F0" w:rsidRPr="003571F0">
        <w:t xml:space="preserve"> </w:t>
      </w:r>
      <w:hyperlink r:id="rId12" w:history="1">
        <w:r w:rsidR="003571F0" w:rsidRPr="003571F0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74F95761" w14:textId="44C951D6" w:rsidR="00CC3CBB" w:rsidRPr="00A6378C" w:rsidRDefault="00CC3CBB" w:rsidP="00690286">
      <w:pPr>
        <w:spacing w:before="120"/>
        <w:ind w:left="284" w:hanging="284"/>
        <w:rPr>
          <w:spacing w:val="-5"/>
          <w:sz w:val="18"/>
          <w:szCs w:val="18"/>
        </w:rPr>
      </w:pPr>
      <w:r w:rsidRPr="00A6378C">
        <w:rPr>
          <w:spacing w:val="-5"/>
          <w:sz w:val="18"/>
          <w:szCs w:val="18"/>
        </w:rPr>
        <w:t>La bibliografia non sostituisce la frequenza delle lezioni, i cui contenuti costituiranno comunque il punto di partenza fondamentale in sede d’esame.</w:t>
      </w:r>
    </w:p>
    <w:p w14:paraId="2535FA44" w14:textId="0FE48DC2" w:rsidR="00586429" w:rsidRPr="00A6378C" w:rsidRDefault="00586429" w:rsidP="00586429">
      <w:pPr>
        <w:spacing w:before="240" w:after="120"/>
        <w:rPr>
          <w:b/>
          <w:i/>
          <w:sz w:val="18"/>
          <w:szCs w:val="18"/>
        </w:rPr>
      </w:pPr>
      <w:r w:rsidRPr="00A6378C">
        <w:rPr>
          <w:b/>
          <w:i/>
          <w:sz w:val="18"/>
          <w:szCs w:val="18"/>
        </w:rPr>
        <w:t>DIDATTICA DEL CORSO</w:t>
      </w:r>
    </w:p>
    <w:p w14:paraId="22CEBFC6" w14:textId="77777777" w:rsidR="00586429" w:rsidRPr="00A6378C" w:rsidRDefault="00586429" w:rsidP="00586429">
      <w:pPr>
        <w:pStyle w:val="Testo2"/>
        <w:rPr>
          <w:szCs w:val="18"/>
        </w:rPr>
      </w:pPr>
      <w:r w:rsidRPr="00A6378C">
        <w:rPr>
          <w:szCs w:val="18"/>
        </w:rPr>
        <w:t>Lezioni frontali con videoproiezioni. Gli studenti sono invitati a partecipare attivamente alla discussione in aula.</w:t>
      </w:r>
    </w:p>
    <w:p w14:paraId="709FC3D4" w14:textId="77777777" w:rsidR="00586429" w:rsidRPr="00A6378C" w:rsidRDefault="00586429" w:rsidP="00586429">
      <w:pPr>
        <w:spacing w:before="240" w:after="120"/>
        <w:rPr>
          <w:b/>
          <w:i/>
          <w:sz w:val="18"/>
          <w:szCs w:val="18"/>
        </w:rPr>
      </w:pPr>
      <w:r w:rsidRPr="00A6378C">
        <w:rPr>
          <w:b/>
          <w:i/>
          <w:sz w:val="18"/>
          <w:szCs w:val="18"/>
        </w:rPr>
        <w:t>METODO E CRITERI DI VALUTAZIONE</w:t>
      </w:r>
    </w:p>
    <w:p w14:paraId="3C287EFF" w14:textId="77777777" w:rsidR="00586429" w:rsidRPr="00A6378C" w:rsidRDefault="00586429" w:rsidP="00586429">
      <w:pPr>
        <w:pStyle w:val="Testo2"/>
        <w:rPr>
          <w:szCs w:val="18"/>
        </w:rPr>
      </w:pPr>
      <w:r w:rsidRPr="00A6378C">
        <w:rPr>
          <w:szCs w:val="18"/>
        </w:rPr>
        <w:t>Gli studenti dovranno sostenere l’esame finale in modalità orale, durante gli appelli ufficiali. L’esame verterà sui contenuti proposti a lezione e sulla bibliografia richiesta, e valuterà la capacità, da parte dello studente, di leggere l’immagine con adeguata competenza e proprietà di linguaggio, e di inserirla nel contesto concettuale del corso.</w:t>
      </w:r>
    </w:p>
    <w:p w14:paraId="789CD486" w14:textId="77777777" w:rsidR="00586429" w:rsidRPr="00A6378C" w:rsidRDefault="00586429" w:rsidP="00586429">
      <w:pPr>
        <w:spacing w:before="240" w:after="120" w:line="240" w:lineRule="exact"/>
        <w:rPr>
          <w:b/>
          <w:i/>
          <w:sz w:val="18"/>
          <w:szCs w:val="18"/>
        </w:rPr>
      </w:pPr>
      <w:r w:rsidRPr="00A6378C">
        <w:rPr>
          <w:b/>
          <w:i/>
          <w:sz w:val="18"/>
          <w:szCs w:val="18"/>
        </w:rPr>
        <w:t>AVVERTENZE E PREREQUISITI</w:t>
      </w:r>
    </w:p>
    <w:p w14:paraId="33921B5B" w14:textId="325879E9" w:rsidR="00586429" w:rsidRPr="00CD69F4" w:rsidRDefault="00586429" w:rsidP="00A6378C">
      <w:pPr>
        <w:pStyle w:val="Testo2"/>
      </w:pPr>
      <w:r w:rsidRPr="00CD69F4">
        <w:t xml:space="preserve">Lo studio dei materiali bibliografici è complementare e </w:t>
      </w:r>
      <w:r w:rsidRPr="00CD69F4">
        <w:rPr>
          <w:i/>
        </w:rPr>
        <w:t>non</w:t>
      </w:r>
      <w:r w:rsidRPr="00CD69F4">
        <w:t xml:space="preserve"> sostitutivo rispetto ai contenuti delle lezioni</w:t>
      </w:r>
      <w:r w:rsidRPr="00CD69F4">
        <w:rPr>
          <w:i/>
        </w:rPr>
        <w:t>,</w:t>
      </w:r>
      <w:r w:rsidRPr="00CD69F4">
        <w:t xml:space="preserve"> che saranno regolarmente oggetto d’esame</w:t>
      </w:r>
      <w:r w:rsidR="004A405B">
        <w:t>.</w:t>
      </w:r>
    </w:p>
    <w:p w14:paraId="07304382" w14:textId="185DA092" w:rsidR="00586429" w:rsidRPr="00CD69F4" w:rsidRDefault="00586429" w:rsidP="00A6378C">
      <w:pPr>
        <w:pStyle w:val="Testo2"/>
      </w:pPr>
      <w:r w:rsidRPr="00CD69F4">
        <w:lastRenderedPageBreak/>
        <w:t>Non sono richieste particolari conoscenze pregresse. Naturalmente, una competenza di buon livello nelle discipline storico-artistiche e filosofiche sarà di aiuto, specialmente in avvio d</w:t>
      </w:r>
      <w:r w:rsidR="00AF23BE">
        <w:t>el</w:t>
      </w:r>
      <w:r w:rsidRPr="00CD69F4">
        <w:t xml:space="preserve"> corso, alla comprensione di alcune tematiche e di alcuni esempi.</w:t>
      </w:r>
    </w:p>
    <w:p w14:paraId="619A96B6" w14:textId="77777777" w:rsidR="00586429" w:rsidRPr="00CD69F4" w:rsidRDefault="00586429" w:rsidP="00A6378C">
      <w:pPr>
        <w:pStyle w:val="Testo2"/>
        <w:spacing w:before="120"/>
        <w:rPr>
          <w:i/>
          <w:spacing w:val="-5"/>
        </w:rPr>
      </w:pPr>
      <w:r w:rsidRPr="00CD69F4">
        <w:rPr>
          <w:i/>
        </w:rPr>
        <w:t xml:space="preserve">Orario e luogo di ricevimento </w:t>
      </w:r>
    </w:p>
    <w:p w14:paraId="02949EB6" w14:textId="2668BE22" w:rsidR="00586429" w:rsidRDefault="00586429" w:rsidP="00A6378C">
      <w:pPr>
        <w:pStyle w:val="Testo2"/>
      </w:pPr>
      <w:r w:rsidRPr="00CD69F4">
        <w:t>Il Prof. Kevin McManus riceve gli studenti</w:t>
      </w:r>
      <w:r w:rsidR="00984AD6" w:rsidRPr="00984AD6">
        <w:rPr>
          <w:rFonts w:cs="Times"/>
          <w:noProof w:val="0"/>
        </w:rPr>
        <w:t xml:space="preserve"> </w:t>
      </w:r>
      <w:r w:rsidR="00984AD6" w:rsidRPr="00984AD6">
        <w:t>negli orari e con le modalità comunicate sulla pagina web docente, all’interno del sito dell’Ateneo.</w:t>
      </w:r>
      <w:r w:rsidR="00663AEC">
        <w:t xml:space="preserve"> Per ulteriori indicazioni, </w:t>
      </w:r>
      <w:hyperlink r:id="rId13" w:history="1">
        <w:r w:rsidR="00663AEC" w:rsidRPr="00CA098E">
          <w:rPr>
            <w:rStyle w:val="Collegamentoipertestuale"/>
          </w:rPr>
          <w:t>kevin.mcmanus@unicatt.it</w:t>
        </w:r>
      </w:hyperlink>
      <w:r w:rsidR="00663AEC">
        <w:t>.</w:t>
      </w:r>
    </w:p>
    <w:p w14:paraId="70D46E01" w14:textId="77777777" w:rsidR="00663AEC" w:rsidRPr="00CD69F4" w:rsidRDefault="00663AEC" w:rsidP="00A6378C">
      <w:pPr>
        <w:pStyle w:val="Testo2"/>
      </w:pPr>
    </w:p>
    <w:sectPr w:rsidR="00663AEC" w:rsidRPr="00CD69F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07663" w14:textId="77777777" w:rsidR="001344FA" w:rsidRDefault="001344FA" w:rsidP="003571F0">
      <w:pPr>
        <w:spacing w:line="240" w:lineRule="auto"/>
      </w:pPr>
      <w:r>
        <w:separator/>
      </w:r>
    </w:p>
  </w:endnote>
  <w:endnote w:type="continuationSeparator" w:id="0">
    <w:p w14:paraId="7F622065" w14:textId="77777777" w:rsidR="001344FA" w:rsidRDefault="001344FA" w:rsidP="003571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C6505" w14:textId="77777777" w:rsidR="001344FA" w:rsidRDefault="001344FA" w:rsidP="003571F0">
      <w:pPr>
        <w:spacing w:line="240" w:lineRule="auto"/>
      </w:pPr>
      <w:r>
        <w:separator/>
      </w:r>
    </w:p>
  </w:footnote>
  <w:footnote w:type="continuationSeparator" w:id="0">
    <w:p w14:paraId="0E75FAC2" w14:textId="77777777" w:rsidR="001344FA" w:rsidRDefault="001344FA" w:rsidP="003571F0">
      <w:pPr>
        <w:spacing w:line="240" w:lineRule="auto"/>
      </w:pPr>
      <w:r>
        <w:continuationSeparator/>
      </w:r>
    </w:p>
  </w:footnote>
  <w:footnote w:id="1">
    <w:p w14:paraId="14AE94E1" w14:textId="77777777" w:rsidR="003571F0" w:rsidRDefault="003571F0" w:rsidP="003571F0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189D4B1" w14:textId="089241F3" w:rsidR="003571F0" w:rsidRDefault="003571F0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D2"/>
    <w:rsid w:val="000212EE"/>
    <w:rsid w:val="00031684"/>
    <w:rsid w:val="000376C4"/>
    <w:rsid w:val="00056D90"/>
    <w:rsid w:val="00094FC8"/>
    <w:rsid w:val="000E6C43"/>
    <w:rsid w:val="000F0D91"/>
    <w:rsid w:val="001168A0"/>
    <w:rsid w:val="001250EC"/>
    <w:rsid w:val="001344FA"/>
    <w:rsid w:val="00165CAF"/>
    <w:rsid w:val="00187682"/>
    <w:rsid w:val="00187B99"/>
    <w:rsid w:val="001E1EC4"/>
    <w:rsid w:val="001E507F"/>
    <w:rsid w:val="001F2145"/>
    <w:rsid w:val="001F228D"/>
    <w:rsid w:val="001F2F0D"/>
    <w:rsid w:val="002014DD"/>
    <w:rsid w:val="00221C4B"/>
    <w:rsid w:val="002467EF"/>
    <w:rsid w:val="00252663"/>
    <w:rsid w:val="00256C2A"/>
    <w:rsid w:val="00262808"/>
    <w:rsid w:val="00273E96"/>
    <w:rsid w:val="002779DB"/>
    <w:rsid w:val="002955B7"/>
    <w:rsid w:val="002B5F11"/>
    <w:rsid w:val="002D5E17"/>
    <w:rsid w:val="002E6AD3"/>
    <w:rsid w:val="0031353D"/>
    <w:rsid w:val="0033058A"/>
    <w:rsid w:val="003571F0"/>
    <w:rsid w:val="00360708"/>
    <w:rsid w:val="00391256"/>
    <w:rsid w:val="003A152C"/>
    <w:rsid w:val="003A561D"/>
    <w:rsid w:val="003B397A"/>
    <w:rsid w:val="003D6061"/>
    <w:rsid w:val="0042457D"/>
    <w:rsid w:val="00430AEF"/>
    <w:rsid w:val="004316C6"/>
    <w:rsid w:val="00434007"/>
    <w:rsid w:val="00471BFB"/>
    <w:rsid w:val="004962B9"/>
    <w:rsid w:val="004A405B"/>
    <w:rsid w:val="004B016C"/>
    <w:rsid w:val="004B4E3A"/>
    <w:rsid w:val="004B4FF8"/>
    <w:rsid w:val="004C5294"/>
    <w:rsid w:val="004C7C28"/>
    <w:rsid w:val="004D1217"/>
    <w:rsid w:val="004D40AD"/>
    <w:rsid w:val="004D6008"/>
    <w:rsid w:val="004D6238"/>
    <w:rsid w:val="004E3917"/>
    <w:rsid w:val="004F31F3"/>
    <w:rsid w:val="00511A67"/>
    <w:rsid w:val="005131E7"/>
    <w:rsid w:val="00542D61"/>
    <w:rsid w:val="0057531A"/>
    <w:rsid w:val="005821A9"/>
    <w:rsid w:val="00586429"/>
    <w:rsid w:val="005A4887"/>
    <w:rsid w:val="005A5BE3"/>
    <w:rsid w:val="005B4E98"/>
    <w:rsid w:val="005D439D"/>
    <w:rsid w:val="005E4455"/>
    <w:rsid w:val="005E5F4C"/>
    <w:rsid w:val="00606768"/>
    <w:rsid w:val="00611B0D"/>
    <w:rsid w:val="00627D86"/>
    <w:rsid w:val="00640794"/>
    <w:rsid w:val="0064655C"/>
    <w:rsid w:val="00651961"/>
    <w:rsid w:val="00663AEC"/>
    <w:rsid w:val="006778A7"/>
    <w:rsid w:val="00690286"/>
    <w:rsid w:val="006D28E7"/>
    <w:rsid w:val="006D34D5"/>
    <w:rsid w:val="006E4690"/>
    <w:rsid w:val="006F1772"/>
    <w:rsid w:val="00701F2B"/>
    <w:rsid w:val="00702C64"/>
    <w:rsid w:val="00723503"/>
    <w:rsid w:val="00734752"/>
    <w:rsid w:val="00734D1A"/>
    <w:rsid w:val="007374A9"/>
    <w:rsid w:val="00774A6A"/>
    <w:rsid w:val="00777F96"/>
    <w:rsid w:val="007838AB"/>
    <w:rsid w:val="007911DC"/>
    <w:rsid w:val="007A155A"/>
    <w:rsid w:val="007B6B94"/>
    <w:rsid w:val="007B7702"/>
    <w:rsid w:val="007C0D11"/>
    <w:rsid w:val="007C3FFE"/>
    <w:rsid w:val="0080184A"/>
    <w:rsid w:val="00822A4F"/>
    <w:rsid w:val="00846E73"/>
    <w:rsid w:val="008553D6"/>
    <w:rsid w:val="0087547F"/>
    <w:rsid w:val="00885440"/>
    <w:rsid w:val="008942E7"/>
    <w:rsid w:val="008A1204"/>
    <w:rsid w:val="008B3AC5"/>
    <w:rsid w:val="008B4FE3"/>
    <w:rsid w:val="008D5DB9"/>
    <w:rsid w:val="008F46E1"/>
    <w:rsid w:val="00900CCA"/>
    <w:rsid w:val="00903540"/>
    <w:rsid w:val="00905445"/>
    <w:rsid w:val="009061A9"/>
    <w:rsid w:val="00915821"/>
    <w:rsid w:val="00924B77"/>
    <w:rsid w:val="00932D63"/>
    <w:rsid w:val="00940DA2"/>
    <w:rsid w:val="009826FE"/>
    <w:rsid w:val="0098424C"/>
    <w:rsid w:val="00984AD6"/>
    <w:rsid w:val="009857B5"/>
    <w:rsid w:val="009B06D3"/>
    <w:rsid w:val="009C5E47"/>
    <w:rsid w:val="009D04E3"/>
    <w:rsid w:val="009D378A"/>
    <w:rsid w:val="009E055C"/>
    <w:rsid w:val="00A02BAB"/>
    <w:rsid w:val="00A21F56"/>
    <w:rsid w:val="00A250DD"/>
    <w:rsid w:val="00A350E5"/>
    <w:rsid w:val="00A542B9"/>
    <w:rsid w:val="00A6378C"/>
    <w:rsid w:val="00A74F6F"/>
    <w:rsid w:val="00A76D36"/>
    <w:rsid w:val="00AC7443"/>
    <w:rsid w:val="00AD7557"/>
    <w:rsid w:val="00AF01D6"/>
    <w:rsid w:val="00AF23BE"/>
    <w:rsid w:val="00B26DE4"/>
    <w:rsid w:val="00B32A62"/>
    <w:rsid w:val="00B45991"/>
    <w:rsid w:val="00B50C5D"/>
    <w:rsid w:val="00B51253"/>
    <w:rsid w:val="00B525CC"/>
    <w:rsid w:val="00B52884"/>
    <w:rsid w:val="00B66DE6"/>
    <w:rsid w:val="00B732F2"/>
    <w:rsid w:val="00B773F4"/>
    <w:rsid w:val="00B958DF"/>
    <w:rsid w:val="00BA50E3"/>
    <w:rsid w:val="00BB1B0A"/>
    <w:rsid w:val="00BB4196"/>
    <w:rsid w:val="00BC1756"/>
    <w:rsid w:val="00BD1DBE"/>
    <w:rsid w:val="00BF0FD2"/>
    <w:rsid w:val="00BF49A1"/>
    <w:rsid w:val="00BF7B5F"/>
    <w:rsid w:val="00C31635"/>
    <w:rsid w:val="00C46354"/>
    <w:rsid w:val="00C5127C"/>
    <w:rsid w:val="00C6526D"/>
    <w:rsid w:val="00C81AA7"/>
    <w:rsid w:val="00CC1794"/>
    <w:rsid w:val="00CC3CBB"/>
    <w:rsid w:val="00CC5B76"/>
    <w:rsid w:val="00CD1B30"/>
    <w:rsid w:val="00CD417D"/>
    <w:rsid w:val="00CD69F4"/>
    <w:rsid w:val="00CE52FE"/>
    <w:rsid w:val="00CF6819"/>
    <w:rsid w:val="00CF7685"/>
    <w:rsid w:val="00D02BB0"/>
    <w:rsid w:val="00D03344"/>
    <w:rsid w:val="00D11C55"/>
    <w:rsid w:val="00D138F2"/>
    <w:rsid w:val="00D404F2"/>
    <w:rsid w:val="00D42705"/>
    <w:rsid w:val="00D47181"/>
    <w:rsid w:val="00D54319"/>
    <w:rsid w:val="00D82762"/>
    <w:rsid w:val="00D86D1E"/>
    <w:rsid w:val="00DA2BB6"/>
    <w:rsid w:val="00DE1889"/>
    <w:rsid w:val="00DF1E01"/>
    <w:rsid w:val="00E4640A"/>
    <w:rsid w:val="00E607E6"/>
    <w:rsid w:val="00E7509E"/>
    <w:rsid w:val="00EA58DC"/>
    <w:rsid w:val="00EC12A7"/>
    <w:rsid w:val="00EC19D8"/>
    <w:rsid w:val="00ED6027"/>
    <w:rsid w:val="00ED6AC9"/>
    <w:rsid w:val="00EE0B58"/>
    <w:rsid w:val="00F01395"/>
    <w:rsid w:val="00F135F7"/>
    <w:rsid w:val="00F41FD2"/>
    <w:rsid w:val="00F422AC"/>
    <w:rsid w:val="00F506C0"/>
    <w:rsid w:val="00F711BC"/>
    <w:rsid w:val="00F81D50"/>
    <w:rsid w:val="00F83C46"/>
    <w:rsid w:val="00F8579E"/>
    <w:rsid w:val="00F96A9A"/>
    <w:rsid w:val="00FA1EBC"/>
    <w:rsid w:val="00FA4428"/>
    <w:rsid w:val="00FA68C6"/>
    <w:rsid w:val="00FC58AB"/>
    <w:rsid w:val="00FD2DD5"/>
    <w:rsid w:val="00FE6AAF"/>
    <w:rsid w:val="00FF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D9626"/>
  <w15:chartTrackingRefBased/>
  <w15:docId w15:val="{3DBA7520-A734-4E24-A474-517A9708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rsid w:val="00663A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3AEC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3571F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571F0"/>
  </w:style>
  <w:style w:type="character" w:styleId="Rimandonotaapidipagina">
    <w:name w:val="footnote reference"/>
    <w:basedOn w:val="Carpredefinitoparagrafo"/>
    <w:rsid w:val="003571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teorie-dellimmagine-9788860302144-175436.html" TargetMode="External"/><Relationship Id="rId13" Type="http://schemas.openxmlformats.org/officeDocument/2006/relationships/hyperlink" Target="mailto:kevin.mcmanus@unicatt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peter-burke/testimoni-oculari-il-significato-storico-delle-immagini-9788843085989-247772.html" TargetMode="External"/><Relationship Id="rId12" Type="http://schemas.openxmlformats.org/officeDocument/2006/relationships/hyperlink" Target="https://librerie.unicatt.it/scheda-libro/francesco-tedeschi/luoghi-di-transizione-forme-e-immagini-di-passaggio-fra-arte-e-architettura-9788828401353-683445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andrea-pinotti/alla-soglia-dellimmagine-da-narciso-alla-realta-virtuale-9788806244422-701911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autori-vari/la-cornice-storie-teorie-testi-9788860102126-55043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wjt-mitchell/pictorial-turn-saggi-di-cultura-visuale-9788860309600-256524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3D1CA-D3F0-434C-9508-76719559E9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2003-03-27T10:42:00Z</cp:lastPrinted>
  <dcterms:created xsi:type="dcterms:W3CDTF">2026-06-25T13:08:00Z</dcterms:created>
  <dcterms:modified xsi:type="dcterms:W3CDTF">2026-07-14T12:34:00Z</dcterms:modified>
</cp:coreProperties>
</file>