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CED33" w14:textId="77777777" w:rsidR="00450A3F" w:rsidRPr="00487DB9" w:rsidRDefault="00450A3F" w:rsidP="00450A3F">
      <w:pPr>
        <w:ind w:left="-426"/>
        <w:jc w:val="center"/>
        <w:rPr>
          <w:rFonts w:ascii="Avenir Heavy" w:hAnsi="Avenir Heavy"/>
          <w:b/>
          <w:color w:val="372776"/>
          <w:sz w:val="20"/>
          <w:szCs w:val="12"/>
        </w:rPr>
      </w:pPr>
    </w:p>
    <w:p w14:paraId="39E341D6" w14:textId="596E29F8" w:rsidR="00450A3F" w:rsidRPr="002B702C" w:rsidRDefault="00450A3F" w:rsidP="00450A3F">
      <w:pPr>
        <w:ind w:left="-426"/>
        <w:jc w:val="center"/>
        <w:rPr>
          <w:rFonts w:ascii="Avenir Medium" w:hAnsi="Avenir Medium"/>
          <w:color w:val="372776"/>
          <w:sz w:val="40"/>
          <w:szCs w:val="40"/>
        </w:rPr>
      </w:pPr>
      <w:r>
        <w:rPr>
          <w:rFonts w:ascii="Avenir Heavy" w:hAnsi="Avenir Heavy"/>
          <w:b/>
          <w:color w:val="372776"/>
          <w:sz w:val="40"/>
          <w:szCs w:val="40"/>
        </w:rPr>
        <w:t>SCHEDA EDUCATIONAL CLUSTER</w:t>
      </w:r>
    </w:p>
    <w:p w14:paraId="5E618B47" w14:textId="77777777" w:rsidR="00450A3F" w:rsidRDefault="00450A3F" w:rsidP="00450A3F">
      <w:pPr>
        <w:ind w:left="-426"/>
        <w:rPr>
          <w:rFonts w:ascii="Avenir Medium" w:hAnsi="Avenir Medium"/>
          <w:color w:val="29879B"/>
        </w:rPr>
      </w:pPr>
    </w:p>
    <w:p w14:paraId="5F290925" w14:textId="77777777" w:rsidR="00450A3F" w:rsidRDefault="00450A3F" w:rsidP="00450A3F">
      <w:pPr>
        <w:ind w:left="-426"/>
        <w:jc w:val="both"/>
        <w:rPr>
          <w:rFonts w:ascii="Avenir Medium" w:hAnsi="Avenir Medium"/>
        </w:rPr>
      </w:pPr>
      <w:r w:rsidRPr="00AB6174">
        <w:rPr>
          <w:rFonts w:ascii="Avenir Medium" w:hAnsi="Avenir Medium"/>
        </w:rPr>
        <w:t xml:space="preserve">La Scheda </w:t>
      </w:r>
      <w:r>
        <w:rPr>
          <w:rFonts w:ascii="Avenir Medium" w:hAnsi="Avenir Medium"/>
        </w:rPr>
        <w:t xml:space="preserve">Educational </w:t>
      </w:r>
      <w:r w:rsidRPr="00AB6174">
        <w:rPr>
          <w:rFonts w:ascii="Avenir Medium" w:hAnsi="Avenir Medium"/>
        </w:rPr>
        <w:t xml:space="preserve">Cluster ha lo scopo di presentare in modo approfondito il corso, fungendo da patto formativo tra il docente e lo studente. In esso vengono dettagliati gli obiettivi generali del </w:t>
      </w:r>
      <w:r>
        <w:rPr>
          <w:rFonts w:ascii="Avenir Medium" w:hAnsi="Avenir Medium"/>
        </w:rPr>
        <w:t>Cluster</w:t>
      </w:r>
      <w:r w:rsidRPr="00AB6174">
        <w:rPr>
          <w:rFonts w:ascii="Avenir Medium" w:hAnsi="Avenir Medium"/>
        </w:rPr>
        <w:t xml:space="preserve"> e quelli specifici </w:t>
      </w:r>
      <w:r>
        <w:rPr>
          <w:rFonts w:ascii="Avenir Medium" w:hAnsi="Avenir Medium"/>
        </w:rPr>
        <w:t>dei singoli Moduli</w:t>
      </w:r>
      <w:r w:rsidRPr="00AB6174">
        <w:rPr>
          <w:rFonts w:ascii="Avenir Medium" w:hAnsi="Avenir Medium"/>
        </w:rPr>
        <w:t>, le modalità didattiche adottate, i contenuti di studio e di produzione richiesti allo studente e le modalità di valutazione dell’apprendimento.</w:t>
      </w:r>
    </w:p>
    <w:p w14:paraId="6410C826" w14:textId="77777777" w:rsidR="00F50F8E" w:rsidRDefault="00F50F8E" w:rsidP="00450A3F">
      <w:pPr>
        <w:ind w:left="-426"/>
        <w:jc w:val="both"/>
        <w:rPr>
          <w:rFonts w:ascii="Avenir Medium" w:hAnsi="Avenir Medium"/>
        </w:rPr>
      </w:pPr>
    </w:p>
    <w:tbl>
      <w:tblPr>
        <w:tblW w:w="14885" w:type="dxa"/>
        <w:tblInd w:w="-43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221"/>
        <w:gridCol w:w="10664"/>
      </w:tblGrid>
      <w:tr w:rsidR="00F50F8E" w14:paraId="6372B84A" w14:textId="77777777" w:rsidTr="00F50F8E">
        <w:trPr>
          <w:trHeight w:val="415"/>
        </w:trPr>
        <w:tc>
          <w:tcPr>
            <w:tcW w:w="14885" w:type="dxa"/>
            <w:gridSpan w:val="2"/>
            <w:tcBorders>
              <w:top w:val="single" w:sz="24" w:space="0" w:color="A6A6A6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4ADF7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b/>
                <w:color w:val="000000"/>
                <w:sz w:val="32"/>
                <w:szCs w:val="32"/>
              </w:rPr>
              <w:t>AREA INFORMATIVA</w:t>
            </w:r>
          </w:p>
        </w:tc>
      </w:tr>
      <w:tr w:rsidR="00F50F8E" w14:paraId="14F132FF" w14:textId="77777777" w:rsidTr="00F50F8E">
        <w:trPr>
          <w:trHeight w:val="290"/>
        </w:trPr>
        <w:tc>
          <w:tcPr>
            <w:tcW w:w="14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83A8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4EDBD" w14:textId="77777777" w:rsidR="00F50F8E" w:rsidRDefault="00F50F8E" w:rsidP="005E257A"/>
        </w:tc>
      </w:tr>
      <w:tr w:rsidR="00F50F8E" w14:paraId="570E3504" w14:textId="77777777" w:rsidTr="00F50F8E">
        <w:trPr>
          <w:trHeight w:val="387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E111F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EDUCATIONAL CLUSTER</w:t>
            </w:r>
          </w:p>
        </w:tc>
        <w:tc>
          <w:tcPr>
            <w:tcW w:w="10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37361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b/>
                <w:color w:val="000000"/>
              </w:rPr>
              <w:t>Processi didattici e valutativi nei contesti media-educativi</w:t>
            </w:r>
          </w:p>
        </w:tc>
      </w:tr>
      <w:tr w:rsidR="00F50F8E" w14:paraId="1A556B99" w14:textId="77777777" w:rsidTr="00F50F8E">
        <w:trPr>
          <w:trHeight w:val="387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4C00E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Numero CFU</w:t>
            </w:r>
            <w:r>
              <w:rPr>
                <w:rFonts w:ascii="Avenir" w:eastAsia="Avenir" w:hAnsi="Avenir" w:cs="Avenir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10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8BE9D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12</w:t>
            </w:r>
          </w:p>
        </w:tc>
      </w:tr>
      <w:tr w:rsidR="00F50F8E" w14:paraId="268C4BF0" w14:textId="77777777" w:rsidTr="00F50F8E">
        <w:trPr>
          <w:trHeight w:val="2250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D88E6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DOCENTE REFERENTE</w:t>
            </w:r>
          </w:p>
        </w:tc>
        <w:tc>
          <w:tcPr>
            <w:tcW w:w="10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9C1DC" w14:textId="5182013F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Docente referente:</w:t>
            </w:r>
          </w:p>
          <w:p w14:paraId="2C9EFAC0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Simona Ferrari - </w:t>
            </w:r>
            <w:hyperlink r:id="rId11">
              <w:r>
                <w:rPr>
                  <w:rFonts w:ascii="Avenir" w:eastAsia="Avenir" w:hAnsi="Avenir" w:cs="Avenir"/>
                  <w:color w:val="0563C1"/>
                  <w:u w:val="single"/>
                </w:rPr>
                <w:t>simona.ferrari@unicatt.it</w:t>
              </w:r>
            </w:hyperlink>
            <w:r>
              <w:rPr>
                <w:rFonts w:ascii="Avenir" w:eastAsia="Avenir" w:hAnsi="Avenir" w:cs="Avenir"/>
                <w:color w:val="000000"/>
              </w:rPr>
              <w:t xml:space="preserve"> - Il ricevimento va concordato con la docente tramite mail.</w:t>
            </w:r>
          </w:p>
          <w:p w14:paraId="6A066BD1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Altri docenti del Cluster:</w:t>
            </w:r>
          </w:p>
          <w:p w14:paraId="1363297D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Alessandra Carenzio - </w:t>
            </w:r>
            <w:hyperlink r:id="rId12">
              <w:r>
                <w:rPr>
                  <w:rFonts w:ascii="Avenir" w:eastAsia="Avenir" w:hAnsi="Avenir" w:cs="Avenir"/>
                  <w:color w:val="0563C1"/>
                  <w:u w:val="single"/>
                </w:rPr>
                <w:t>alessandra.carenzio@unicatt.it</w:t>
              </w:r>
            </w:hyperlink>
            <w:r>
              <w:rPr>
                <w:rFonts w:ascii="Avenir" w:eastAsia="Avenir" w:hAnsi="Avenir" w:cs="Avenir"/>
                <w:color w:val="000000"/>
              </w:rPr>
              <w:t xml:space="preserve"> - Il ricevimento va concordato con la docente tramite mail.</w:t>
            </w:r>
          </w:p>
          <w:p w14:paraId="5E3B5DDA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Cristina Lisimberti - </w:t>
            </w:r>
            <w:hyperlink r:id="rId13">
              <w:r>
                <w:rPr>
                  <w:rFonts w:ascii="Avenir" w:eastAsia="Avenir" w:hAnsi="Avenir" w:cs="Avenir"/>
                  <w:color w:val="0563C1"/>
                  <w:u w:val="single"/>
                </w:rPr>
                <w:t>cristina.lisimberti@unicatt.it</w:t>
              </w:r>
            </w:hyperlink>
            <w:r>
              <w:rPr>
                <w:rFonts w:ascii="Avenir" w:eastAsia="Avenir" w:hAnsi="Avenir" w:cs="Avenir"/>
                <w:color w:val="000000"/>
              </w:rPr>
              <w:t xml:space="preserve"> - Il ricevimento va concordato con la docente tramite mail.</w:t>
            </w:r>
          </w:p>
        </w:tc>
      </w:tr>
      <w:tr w:rsidR="00F50F8E" w14:paraId="7050F495" w14:textId="77777777" w:rsidTr="00F50F8E">
        <w:trPr>
          <w:trHeight w:val="855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A048F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Propedeuticità rispetto </w:t>
            </w:r>
          </w:p>
          <w:p w14:paraId="059DE201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ad altri Educational Cluster</w:t>
            </w:r>
          </w:p>
        </w:tc>
        <w:tc>
          <w:tcPr>
            <w:tcW w:w="10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4042D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L’Educational Cluster non è propedeutico rispetto ad altri Cluster.</w:t>
            </w:r>
          </w:p>
        </w:tc>
      </w:tr>
      <w:tr w:rsidR="00F50F8E" w14:paraId="4E1650D7" w14:textId="77777777" w:rsidTr="00F50F8E">
        <w:trPr>
          <w:trHeight w:val="1990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3E7D8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lastRenderedPageBreak/>
              <w:t xml:space="preserve">Moduli (3CFU) </w:t>
            </w:r>
          </w:p>
          <w:p w14:paraId="32A24314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e docenti di riferimento</w:t>
            </w:r>
          </w:p>
        </w:tc>
        <w:tc>
          <w:tcPr>
            <w:tcW w:w="10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4289D" w14:textId="5AEC6C3D" w:rsidR="00F50F8E" w:rsidRDefault="00F50F8E" w:rsidP="008839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b/>
                <w:color w:val="000000"/>
              </w:rPr>
              <w:t>Modulo 1</w:t>
            </w:r>
            <w:r>
              <w:rPr>
                <w:rFonts w:ascii="Avenir" w:eastAsia="Avenir" w:hAnsi="Avenir" w:cs="Avenir"/>
                <w:color w:val="000000"/>
              </w:rPr>
              <w:t xml:space="preserve">: Fondamenti della Media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Literacy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Education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tra ricerca e intervento, Alessandra Carenzio, 3 CFU, </w:t>
            </w:r>
            <w:r w:rsidR="0092783B">
              <w:rPr>
                <w:rFonts w:ascii="Avenir" w:eastAsia="Avenir" w:hAnsi="Avenir" w:cs="Avenir"/>
                <w:color w:val="000000"/>
                <w:highlight w:val="white"/>
              </w:rPr>
              <w:t>M-PED/03</w:t>
            </w:r>
            <w:r>
              <w:rPr>
                <w:rFonts w:ascii="Avenir" w:eastAsia="Avenir" w:hAnsi="Avenir" w:cs="Avenir"/>
                <w:color w:val="000000"/>
                <w:highlight w:val="white"/>
              </w:rPr>
              <w:t>;</w:t>
            </w:r>
          </w:p>
          <w:p w14:paraId="52C6DA6A" w14:textId="5709E413" w:rsidR="00F50F8E" w:rsidRDefault="00F50F8E" w:rsidP="008839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b/>
                <w:color w:val="000000"/>
              </w:rPr>
              <w:t>Modulo 2</w:t>
            </w:r>
            <w:r>
              <w:rPr>
                <w:rFonts w:ascii="Avenir" w:eastAsia="Avenir" w:hAnsi="Avenir" w:cs="Avenir"/>
                <w:color w:val="000000"/>
              </w:rPr>
              <w:t xml:space="preserve">: La questione metodologica tra scienze dell’educazione e della comunicazione, Alessandra Carenzio, Simona Ferrari, 3 CFU, </w:t>
            </w:r>
            <w:r w:rsidR="0092783B">
              <w:rPr>
                <w:rFonts w:ascii="Avenir" w:eastAsia="Avenir" w:hAnsi="Avenir" w:cs="Avenir"/>
                <w:color w:val="000000"/>
              </w:rPr>
              <w:t>M-PED/03;</w:t>
            </w:r>
          </w:p>
          <w:p w14:paraId="31B5E402" w14:textId="051256A9" w:rsidR="00F50F8E" w:rsidRDefault="00F50F8E" w:rsidP="008839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b/>
                <w:color w:val="000000"/>
              </w:rPr>
              <w:t>Modulo 3</w:t>
            </w:r>
            <w:r>
              <w:rPr>
                <w:rFonts w:ascii="Avenir" w:eastAsia="Avenir" w:hAnsi="Avenir" w:cs="Avenir"/>
                <w:color w:val="000000"/>
              </w:rPr>
              <w:t>: Apprendere in contesti ibridi</w:t>
            </w:r>
            <w:r>
              <w:rPr>
                <w:rFonts w:ascii="Avenir" w:eastAsia="Avenir" w:hAnsi="Avenir" w:cs="Avenir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venir" w:eastAsia="Avenir" w:hAnsi="Avenir" w:cs="Avenir"/>
                <w:color w:val="000000"/>
              </w:rPr>
              <w:t xml:space="preserve">Simona Ferrari, 3 CFU, </w:t>
            </w:r>
            <w:r w:rsidR="0092783B">
              <w:rPr>
                <w:rFonts w:ascii="Avenir" w:eastAsia="Avenir" w:hAnsi="Avenir" w:cs="Avenir"/>
                <w:color w:val="000000"/>
                <w:highlight w:val="white"/>
              </w:rPr>
              <w:t>M-PED/03</w:t>
            </w:r>
            <w:r>
              <w:rPr>
                <w:rFonts w:ascii="Avenir" w:eastAsia="Avenir" w:hAnsi="Avenir" w:cs="Avenir"/>
                <w:color w:val="000000"/>
                <w:highlight w:val="white"/>
              </w:rPr>
              <w:t>;</w:t>
            </w:r>
          </w:p>
          <w:p w14:paraId="29F8EFDA" w14:textId="1B23198A" w:rsidR="00F50F8E" w:rsidRDefault="00F50F8E" w:rsidP="008839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b/>
                <w:color w:val="000000"/>
              </w:rPr>
              <w:t>Modulo 4</w:t>
            </w:r>
            <w:r>
              <w:rPr>
                <w:rFonts w:ascii="Avenir" w:eastAsia="Avenir" w:hAnsi="Avenir" w:cs="Avenir"/>
                <w:color w:val="000000"/>
              </w:rPr>
              <w:t xml:space="preserve">: Logiche, metodi e strumenti di valutazione nella Media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Education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, Cristina Lisimberti, 3 CFU, </w:t>
            </w:r>
            <w:r w:rsidR="0092783B">
              <w:rPr>
                <w:rFonts w:ascii="Avenir" w:eastAsia="Avenir" w:hAnsi="Avenir" w:cs="Avenir"/>
                <w:color w:val="000000"/>
              </w:rPr>
              <w:t>M-PED/04</w:t>
            </w:r>
            <w:r>
              <w:rPr>
                <w:rFonts w:ascii="Avenir" w:eastAsia="Avenir" w:hAnsi="Avenir" w:cs="Avenir"/>
                <w:color w:val="000000"/>
              </w:rPr>
              <w:t>.</w:t>
            </w:r>
          </w:p>
        </w:tc>
      </w:tr>
      <w:tr w:rsidR="00F50F8E" w14:paraId="1030E850" w14:textId="77777777" w:rsidTr="00F50F8E">
        <w:trPr>
          <w:trHeight w:val="822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82F5B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Modalità di svolgimento</w:t>
            </w:r>
          </w:p>
        </w:tc>
        <w:tc>
          <w:tcPr>
            <w:tcW w:w="10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80" w:type="dxa"/>
            </w:tcMar>
            <w:vAlign w:val="center"/>
          </w:tcPr>
          <w:p w14:paraId="25AD9B70" w14:textId="77777777" w:rsidR="00F50F8E" w:rsidRDefault="00F50F8E" w:rsidP="005E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I moduli sono erogati in sequenza.</w:t>
            </w:r>
          </w:p>
        </w:tc>
      </w:tr>
    </w:tbl>
    <w:p w14:paraId="62EDDDD9" w14:textId="77777777" w:rsidR="00F50F8E" w:rsidRPr="00641E2A" w:rsidRDefault="00F50F8E" w:rsidP="00450A3F">
      <w:pPr>
        <w:ind w:left="-426"/>
        <w:jc w:val="both"/>
        <w:rPr>
          <w:rFonts w:ascii="Avenir Medium" w:hAnsi="Avenir Medium"/>
        </w:rPr>
      </w:pPr>
    </w:p>
    <w:p w14:paraId="4450AEED" w14:textId="77777777" w:rsidR="00450A3F" w:rsidRDefault="00450A3F" w:rsidP="00450A3F">
      <w:pPr>
        <w:ind w:left="-426"/>
        <w:jc w:val="both"/>
        <w:rPr>
          <w:rFonts w:ascii="Avenir Medium" w:hAnsi="Avenir Medium"/>
          <w:color w:val="29879B"/>
        </w:rPr>
      </w:pPr>
    </w:p>
    <w:p w14:paraId="665395CF" w14:textId="77777777" w:rsidR="00450A3F" w:rsidRDefault="00450A3F" w:rsidP="00450A3F">
      <w:pPr>
        <w:ind w:left="-426"/>
        <w:jc w:val="both"/>
        <w:rPr>
          <w:rFonts w:ascii="Avenir Medium" w:hAnsi="Avenir Medium"/>
          <w:color w:val="29879B"/>
        </w:rPr>
      </w:pPr>
    </w:p>
    <w:p w14:paraId="2AFDB9C9" w14:textId="77777777" w:rsidR="00FF582D" w:rsidRDefault="00FF582D">
      <w:r>
        <w:br w:type="page"/>
      </w:r>
    </w:p>
    <w:tbl>
      <w:tblPr>
        <w:tblStyle w:val="Grigliatabella"/>
        <w:tblW w:w="15019" w:type="dxa"/>
        <w:tblInd w:w="-426" w:type="dxa"/>
        <w:tblLook w:val="04A0" w:firstRow="1" w:lastRow="0" w:firstColumn="1" w:lastColumn="0" w:noHBand="0" w:noVBand="1"/>
      </w:tblPr>
      <w:tblGrid>
        <w:gridCol w:w="14880"/>
        <w:gridCol w:w="139"/>
      </w:tblGrid>
      <w:tr w:rsidR="00450A3F" w14:paraId="68B7C470" w14:textId="77777777" w:rsidTr="00FB58D0">
        <w:trPr>
          <w:gridAfter w:val="1"/>
          <w:wAfter w:w="139" w:type="dxa"/>
          <w:trHeight w:val="435"/>
        </w:trPr>
        <w:tc>
          <w:tcPr>
            <w:tcW w:w="14880" w:type="dxa"/>
            <w:tcBorders>
              <w:top w:val="thinThickSmallGap" w:sz="24" w:space="0" w:color="BB47A5"/>
              <w:left w:val="outset" w:sz="6" w:space="0" w:color="auto"/>
              <w:right w:val="outset" w:sz="6" w:space="0" w:color="auto"/>
            </w:tcBorders>
            <w:vAlign w:val="center"/>
          </w:tcPr>
          <w:p w14:paraId="7C79D39A" w14:textId="3FFB6926" w:rsidR="00450A3F" w:rsidRPr="001F6927" w:rsidRDefault="00450A3F" w:rsidP="006F4A12">
            <w:pPr>
              <w:jc w:val="center"/>
              <w:rPr>
                <w:rFonts w:ascii="Avenir Medium" w:hAnsi="Avenir Medium"/>
                <w:b/>
                <w:color w:val="002060"/>
                <w:sz w:val="32"/>
                <w:szCs w:val="32"/>
              </w:rPr>
            </w:pPr>
            <w:r w:rsidRPr="001865E2">
              <w:rPr>
                <w:rFonts w:ascii="Avenir Medium" w:hAnsi="Avenir Medium"/>
                <w:b/>
                <w:color w:val="000000" w:themeColor="text1"/>
                <w:sz w:val="32"/>
                <w:szCs w:val="32"/>
              </w:rPr>
              <w:lastRenderedPageBreak/>
              <w:t>AREA DEI CONTENUTI</w:t>
            </w:r>
          </w:p>
        </w:tc>
      </w:tr>
      <w:tr w:rsidR="00450A3F" w14:paraId="7B88D686" w14:textId="77777777" w:rsidTr="00FB58D0">
        <w:trPr>
          <w:gridAfter w:val="1"/>
          <w:wAfter w:w="139" w:type="dxa"/>
          <w:trHeight w:val="547"/>
        </w:trPr>
        <w:tc>
          <w:tcPr>
            <w:tcW w:w="14880" w:type="dxa"/>
            <w:shd w:val="clear" w:color="auto" w:fill="BB47A5"/>
            <w:vAlign w:val="center"/>
          </w:tcPr>
          <w:p w14:paraId="6CF7E283" w14:textId="77777777" w:rsidR="00450A3F" w:rsidRDefault="00450A3F" w:rsidP="006F4A12">
            <w:pPr>
              <w:jc w:val="center"/>
              <w:rPr>
                <w:rFonts w:ascii="Avenir Medium" w:hAnsi="Avenir Medium"/>
                <w:color w:val="29879B"/>
                <w:highlight w:val="yellow"/>
              </w:rPr>
            </w:pPr>
            <w:r>
              <w:rPr>
                <w:rFonts w:ascii="Avenir Medium" w:hAnsi="Avenir Medium"/>
                <w:noProof/>
                <w:color w:val="FFFFFF" w:themeColor="background1"/>
                <w:lang w:eastAsia="it-IT"/>
              </w:rPr>
              <w:drawing>
                <wp:inline distT="0" distB="0" distL="0" distR="0" wp14:anchorId="3CAE2143" wp14:editId="2CE5CA18">
                  <wp:extent cx="571500" cy="581025"/>
                  <wp:effectExtent l="0" t="0" r="0" b="3175"/>
                  <wp:docPr id="4" name="Immagine 4" descr="Immagine che contiene simbolo, Elementi grafici, Carattere, log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simbolo, Elementi grafici, Carattere, logo&#10;&#10;Il contenuto generato dall'IA potrebbe non essere corretto.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26" cy="58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B9B605" w14:textId="77777777" w:rsidR="00450A3F" w:rsidRPr="00EF3D53" w:rsidRDefault="00450A3F" w:rsidP="006F4A12">
            <w:pPr>
              <w:jc w:val="center"/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b/>
                <w:color w:val="FFFFFF" w:themeColor="background1"/>
              </w:rPr>
              <w:t>PREREQUISITI E REQUISITI MINIMI</w:t>
            </w:r>
          </w:p>
        </w:tc>
      </w:tr>
      <w:tr w:rsidR="00FB58D0" w14:paraId="2BC8A1BB" w14:textId="77777777" w:rsidTr="00FB58D0">
        <w:trPr>
          <w:gridAfter w:val="1"/>
          <w:wAfter w:w="139" w:type="dxa"/>
          <w:trHeight w:val="547"/>
        </w:trPr>
        <w:tc>
          <w:tcPr>
            <w:tcW w:w="14880" w:type="dxa"/>
          </w:tcPr>
          <w:p w14:paraId="63DC6C8A" w14:textId="77777777" w:rsidR="00FF582D" w:rsidRDefault="00FF582D" w:rsidP="00FF58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Per il modulo </w:t>
            </w:r>
            <w:proofErr w:type="gramStart"/>
            <w:r>
              <w:rPr>
                <w:rFonts w:ascii="Avenir" w:eastAsia="Avenir" w:hAnsi="Avenir" w:cs="Avenir"/>
                <w:color w:val="000000"/>
              </w:rPr>
              <w:t>4</w:t>
            </w:r>
            <w:proofErr w:type="gramEnd"/>
            <w:r>
              <w:rPr>
                <w:rFonts w:ascii="Avenir" w:eastAsia="Avenir" w:hAnsi="Avenir" w:cs="Avenir"/>
                <w:color w:val="000000"/>
              </w:rPr>
              <w:t xml:space="preserve"> è richiesta una conoscenza di base della metodologia della ricerca in ambito educativo e/o sociale.  Gli studenti non in possesso di tali conoscenze preliminari dovranno farsi carico di acquisirle attraverso un’attività di studio individuale così da potere seguire efficacemente il corso. A tal fine, si suggerisce lo studio del volume: </w:t>
            </w:r>
          </w:p>
          <w:p w14:paraId="164DC140" w14:textId="39765D1C" w:rsidR="00D0333F" w:rsidRDefault="00FF582D" w:rsidP="00FF582D">
            <w:pP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K. Montalbetti - C.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Lisimberti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>, Ricerca e professionalità educativa. Metodi e strumenti, Pensa, Lecce, 2015.</w:t>
            </w:r>
            <w:r w:rsidR="0067089A">
              <w:t xml:space="preserve"> </w:t>
            </w:r>
            <w:hyperlink r:id="rId15" w:history="1">
              <w:r w:rsidR="0067089A" w:rsidRPr="0067089A">
                <w:rPr>
                  <w:rStyle w:val="Collegamentoipertestuale"/>
                  <w:rFonts w:ascii="Avenir" w:eastAsia="Avenir" w:hAnsi="Avenir" w:cs="Avenir"/>
                </w:rPr>
                <w:t>Acquista da VP</w:t>
              </w:r>
            </w:hyperlink>
          </w:p>
          <w:p w14:paraId="622B221D" w14:textId="1A3CCA45" w:rsidR="00FF582D" w:rsidRPr="00DA6F95" w:rsidRDefault="00FF582D" w:rsidP="00FF582D">
            <w:pPr>
              <w:rPr>
                <w:rFonts w:ascii="Avenir Medium" w:hAnsi="Avenir Medium"/>
                <w:color w:val="000000" w:themeColor="text1"/>
              </w:rPr>
            </w:pPr>
          </w:p>
        </w:tc>
      </w:tr>
      <w:tr w:rsidR="00450A3F" w:rsidRPr="00EF3D53" w14:paraId="3DD84344" w14:textId="77777777" w:rsidTr="00FB58D0">
        <w:trPr>
          <w:gridAfter w:val="1"/>
          <w:wAfter w:w="139" w:type="dxa"/>
          <w:trHeight w:val="547"/>
        </w:trPr>
        <w:tc>
          <w:tcPr>
            <w:tcW w:w="14880" w:type="dxa"/>
            <w:shd w:val="clear" w:color="auto" w:fill="BB47A5"/>
            <w:vAlign w:val="center"/>
          </w:tcPr>
          <w:p w14:paraId="4AF14BB0" w14:textId="77777777" w:rsidR="00450A3F" w:rsidRPr="00DA6F95" w:rsidRDefault="00450A3F" w:rsidP="006F4A12">
            <w:pPr>
              <w:jc w:val="center"/>
              <w:rPr>
                <w:rFonts w:ascii="Avenir Medium" w:hAnsi="Avenir Medium"/>
                <w:color w:val="29879B"/>
              </w:rPr>
            </w:pPr>
            <w:r w:rsidRPr="00DA6F95">
              <w:rPr>
                <w:rFonts w:ascii="Avenir Medium" w:hAnsi="Avenir Medium"/>
                <w:noProof/>
                <w:color w:val="FFFFFF" w:themeColor="background1"/>
                <w:lang w:eastAsia="it-IT"/>
              </w:rPr>
              <w:drawing>
                <wp:inline distT="0" distB="0" distL="0" distR="0" wp14:anchorId="2B4E6801" wp14:editId="0686CEDE">
                  <wp:extent cx="688370" cy="632012"/>
                  <wp:effectExtent l="0" t="0" r="0" b="0"/>
                  <wp:docPr id="23" name="Immagine 23" descr="Immagine che contiene simbolo, cerchio, Elementi grafici, bianc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magine 23" descr="Immagine che contiene simbolo, cerchio, Elementi grafici, bianco&#10;&#10;Il contenuto generato dall'IA potrebbe non essere corretto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694" cy="640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F18717" w14:textId="77777777" w:rsidR="00450A3F" w:rsidRPr="00DA6F95" w:rsidRDefault="00450A3F" w:rsidP="006F4A12">
            <w:pPr>
              <w:jc w:val="center"/>
              <w:rPr>
                <w:rFonts w:ascii="Avenir Medium" w:hAnsi="Avenir Medium"/>
                <w:color w:val="000000" w:themeColor="text1"/>
              </w:rPr>
            </w:pPr>
            <w:r w:rsidRPr="00DA6F95">
              <w:rPr>
                <w:rFonts w:ascii="Avenir Medium" w:hAnsi="Avenir Medium"/>
                <w:b/>
                <w:color w:val="FFFFFF" w:themeColor="background1"/>
              </w:rPr>
              <w:t>OBIETTIVI FORMATIVI E COMPETENZE IN USCITA</w:t>
            </w:r>
          </w:p>
        </w:tc>
      </w:tr>
      <w:tr w:rsidR="00BE4CCA" w:rsidRPr="00EF3D53" w14:paraId="5D7908B6" w14:textId="77777777" w:rsidTr="001071FA">
        <w:trPr>
          <w:gridAfter w:val="1"/>
          <w:wAfter w:w="139" w:type="dxa"/>
          <w:trHeight w:val="547"/>
        </w:trPr>
        <w:tc>
          <w:tcPr>
            <w:tcW w:w="14880" w:type="dxa"/>
            <w:vAlign w:val="center"/>
          </w:tcPr>
          <w:p w14:paraId="27BA85B0" w14:textId="77777777" w:rsidR="00BE4CCA" w:rsidRDefault="00BE4CCA" w:rsidP="00BE4C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</w:p>
          <w:p w14:paraId="39A77E6A" w14:textId="77777777" w:rsidR="00BE4CCA" w:rsidRDefault="00BE4CCA" w:rsidP="00BE4C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Al termine dell’insegnamento, lo/la studente/essa sarà in grado di:</w:t>
            </w:r>
          </w:p>
          <w:p w14:paraId="69A97B4D" w14:textId="77777777" w:rsidR="00BE4CCA" w:rsidRDefault="00BE4CCA" w:rsidP="0088396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analizzare criticamente il paradigma della Media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Literacy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Education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e i suoi principali approcci teorici;</w:t>
            </w:r>
          </w:p>
          <w:p w14:paraId="25EC2E2A" w14:textId="77777777" w:rsidR="00BE4CCA" w:rsidRDefault="00BE4CCA" w:rsidP="0088396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ricostruire il quadrante metodologico, tra comunicazione </w:t>
            </w:r>
            <w:proofErr w:type="gramStart"/>
            <w:r>
              <w:rPr>
                <w:rFonts w:ascii="Avenir" w:eastAsia="Avenir" w:hAnsi="Avenir" w:cs="Avenir"/>
                <w:color w:val="000000"/>
              </w:rPr>
              <w:t>ed</w:t>
            </w:r>
            <w:proofErr w:type="gramEnd"/>
            <w:r>
              <w:rPr>
                <w:rFonts w:ascii="Avenir" w:eastAsia="Avenir" w:hAnsi="Avenir" w:cs="Avenir"/>
                <w:color w:val="000000"/>
              </w:rPr>
              <w:t xml:space="preserve"> educazione;</w:t>
            </w:r>
          </w:p>
          <w:p w14:paraId="70B3B807" w14:textId="77777777" w:rsidR="00BE4CCA" w:rsidRDefault="00BE4CCA" w:rsidP="0088396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definire metodi, tecniche e strumenti di lavoro;</w:t>
            </w:r>
          </w:p>
          <w:p w14:paraId="39A7DC47" w14:textId="77777777" w:rsidR="00BE4CCA" w:rsidRDefault="00BE4CCA" w:rsidP="0088396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approntare strategie di intervento media-educativo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Avenir" w:eastAsia="Avenir" w:hAnsi="Avenir" w:cs="Avenir"/>
                <w:color w:val="000000"/>
                <w:highlight w:val="white"/>
              </w:rPr>
              <w:t>nei diversi contesti e per diversi target;</w:t>
            </w:r>
          </w:p>
          <w:p w14:paraId="77BA73D2" w14:textId="77777777" w:rsidR="00BE4CCA" w:rsidRDefault="00BE4CCA" w:rsidP="0088396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Avenir" w:eastAsia="Avenir" w:hAnsi="Avenir" w:cs="Avenir"/>
                <w:color w:val="000000"/>
                <w:highlight w:val="white"/>
              </w:rPr>
            </w:pPr>
            <w:r>
              <w:rPr>
                <w:rFonts w:ascii="Avenir" w:eastAsia="Avenir" w:hAnsi="Avenir" w:cs="Avenir"/>
                <w:color w:val="000000"/>
                <w:highlight w:val="white"/>
              </w:rPr>
              <w:t>applicare i quadri teorici all’allestimento di un setting tecnologico;</w:t>
            </w:r>
          </w:p>
          <w:p w14:paraId="46FA2BEF" w14:textId="77777777" w:rsidR="00BE4CCA" w:rsidRDefault="00BE4CCA" w:rsidP="0088396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Avenir" w:eastAsia="Avenir" w:hAnsi="Avenir" w:cs="Avenir"/>
                <w:color w:val="000000"/>
                <w:highlight w:val="white"/>
              </w:rPr>
            </w:pPr>
            <w:r>
              <w:rPr>
                <w:rFonts w:ascii="Avenir" w:eastAsia="Avenir" w:hAnsi="Avenir" w:cs="Avenir"/>
                <w:color w:val="000000"/>
                <w:highlight w:val="white"/>
              </w:rPr>
              <w:t>analizzare e riconoscere le implicazioni del digitale nelle forme dell’apprendimento e della formazione in contesti ibridi;</w:t>
            </w:r>
          </w:p>
          <w:p w14:paraId="0674585A" w14:textId="77777777" w:rsidR="00BE4CCA" w:rsidRDefault="00BE4CCA" w:rsidP="0088396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conoscere i principali modelli e approcci della valutazione in campo educativo e formativo;</w:t>
            </w:r>
          </w:p>
          <w:p w14:paraId="386E3715" w14:textId="77777777" w:rsidR="00BE4CCA" w:rsidRDefault="00BE4CCA" w:rsidP="0088396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conoscere e costruire i principali strumenti di rilevazione e di valutazione impiegati in campo educativo e formativo;</w:t>
            </w:r>
          </w:p>
          <w:p w14:paraId="7743F7EB" w14:textId="77777777" w:rsidR="00BE4CCA" w:rsidRDefault="00BE4CCA" w:rsidP="0088396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ideare e predisporre dispositivi di valutazione da impiegare nell’ambito di progetti di Media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Education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>;</w:t>
            </w:r>
          </w:p>
          <w:p w14:paraId="58CA21A1" w14:textId="058AE3AB" w:rsidR="00BE4CCA" w:rsidRPr="00DA6F95" w:rsidRDefault="00BE4CCA" w:rsidP="0088396C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rPr>
                <w:rFonts w:ascii="Avenir" w:hAnsi="Avenir"/>
                <w:color w:val="000000" w:themeColor="text1"/>
              </w:rPr>
            </w:pPr>
            <w:r>
              <w:rPr>
                <w:rFonts w:ascii="Avenir" w:eastAsia="Avenir" w:hAnsi="Avenir" w:cs="Avenir"/>
                <w:color w:val="000000"/>
              </w:rPr>
              <w:t>utilizzare correttamente il linguaggio specifico della disciplina.</w:t>
            </w:r>
          </w:p>
        </w:tc>
      </w:tr>
      <w:tr w:rsidR="00BE4CCA" w:rsidRPr="00EF3D53" w14:paraId="3AD4649F" w14:textId="77777777" w:rsidTr="00FB58D0">
        <w:trPr>
          <w:gridAfter w:val="1"/>
          <w:wAfter w:w="139" w:type="dxa"/>
          <w:trHeight w:val="547"/>
        </w:trPr>
        <w:tc>
          <w:tcPr>
            <w:tcW w:w="14880" w:type="dxa"/>
          </w:tcPr>
          <w:p w14:paraId="3C4CBCD0" w14:textId="77777777" w:rsidR="00BE4CCA" w:rsidRDefault="00BE4CCA" w:rsidP="00BE4C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</w:p>
          <w:p w14:paraId="66F4390C" w14:textId="77777777" w:rsidR="00BE4CCA" w:rsidRDefault="00BE4CCA" w:rsidP="00BE4C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Si riportano le corrispondenti competenze nella classificazione </w:t>
            </w:r>
            <w:r>
              <w:rPr>
                <w:rFonts w:ascii="Avenir" w:eastAsia="Avenir" w:hAnsi="Avenir" w:cs="Avenir"/>
                <w:b/>
                <w:color w:val="000000"/>
              </w:rPr>
              <w:t>EU-ESCO (https://esco.ec.europa.eu/)</w:t>
            </w:r>
            <w:r>
              <w:rPr>
                <w:rFonts w:ascii="Avenir" w:eastAsia="Avenir" w:hAnsi="Avenir" w:cs="Avenir"/>
                <w:color w:val="000000"/>
              </w:rPr>
              <w:t xml:space="preserve"> che verranno acquisite dagli studenti con questo cluster: </w:t>
            </w:r>
          </w:p>
          <w:p w14:paraId="423D781F" w14:textId="77777777" w:rsidR="00BE4CCA" w:rsidRDefault="00BE4CCA" w:rsidP="00BE4C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</w:p>
          <w:p w14:paraId="4B361347" w14:textId="77777777" w:rsidR="00BE4CCA" w:rsidRDefault="00BE4CCA" w:rsidP="0088396C">
            <w:pPr>
              <w:numPr>
                <w:ilvl w:val="0"/>
                <w:numId w:val="5"/>
              </w:numPr>
              <w:spacing w:line="259" w:lineRule="auto"/>
              <w:jc w:val="both"/>
            </w:pPr>
            <w:r>
              <w:rPr>
                <w:rFonts w:ascii="Avenir" w:eastAsia="Avenir" w:hAnsi="Avenir" w:cs="Avenir"/>
              </w:rPr>
              <w:t>S2.7.0 Analizzare e valutare informazioni e dati (</w:t>
            </w:r>
            <w:r>
              <w:rPr>
                <w:rFonts w:ascii="Avenir" w:eastAsia="Avenir" w:hAnsi="Avenir" w:cs="Avenir"/>
                <w:color w:val="0A0A0A"/>
                <w:highlight w:val="white"/>
              </w:rPr>
              <w:t>applicare il pensiero concettuale)</w:t>
            </w:r>
          </w:p>
          <w:p w14:paraId="748E78B6" w14:textId="77777777" w:rsidR="00BE4CCA" w:rsidRDefault="00BE4CCA" w:rsidP="0088396C">
            <w:pPr>
              <w:numPr>
                <w:ilvl w:val="0"/>
                <w:numId w:val="5"/>
              </w:numPr>
              <w:spacing w:line="259" w:lineRule="auto"/>
              <w:jc w:val="both"/>
            </w:pPr>
            <w:r>
              <w:rPr>
                <w:rFonts w:ascii="Avenir" w:eastAsia="Avenir" w:hAnsi="Avenir" w:cs="Avenir"/>
              </w:rPr>
              <w:t>S1.3.0 Insegnare e formare (condurre attività educative, impiegare strategie pedagogiche per facilitare il coinvolgimento creativo);</w:t>
            </w:r>
          </w:p>
          <w:p w14:paraId="31ED5A3B" w14:textId="77777777" w:rsidR="00AD7F23" w:rsidRPr="00AD7F23" w:rsidRDefault="00BE4CCA" w:rsidP="0088396C">
            <w:pPr>
              <w:numPr>
                <w:ilvl w:val="0"/>
                <w:numId w:val="5"/>
              </w:numPr>
              <w:spacing w:line="259" w:lineRule="auto"/>
              <w:jc w:val="both"/>
            </w:pPr>
            <w:r>
              <w:rPr>
                <w:rFonts w:ascii="Avenir" w:eastAsia="Avenir" w:hAnsi="Avenir" w:cs="Avenir"/>
              </w:rPr>
              <w:t>S1.3.0 Insegnare e formare (lavorare con ambienti di apprendimento virtuali);</w:t>
            </w:r>
          </w:p>
          <w:p w14:paraId="1AE630AA" w14:textId="0721ACC3" w:rsidR="00BE4CCA" w:rsidRPr="00AD7F23" w:rsidRDefault="00BE4CCA" w:rsidP="0088396C">
            <w:pPr>
              <w:numPr>
                <w:ilvl w:val="0"/>
                <w:numId w:val="5"/>
              </w:numPr>
              <w:spacing w:line="259" w:lineRule="auto"/>
              <w:jc w:val="both"/>
            </w:pPr>
            <w:r w:rsidRPr="00AD7F23">
              <w:rPr>
                <w:rFonts w:ascii="Avenir" w:eastAsia="Avenir" w:hAnsi="Avenir" w:cs="Avenir"/>
                <w:color w:val="000000"/>
              </w:rPr>
              <w:t>S2.7.6 Valutare sistemi, programmi, apparecchiature e prodotti (valutare i programmi di educazione).</w:t>
            </w:r>
          </w:p>
          <w:p w14:paraId="7E771E5A" w14:textId="2A8204EB" w:rsidR="00BE4CCA" w:rsidRPr="00DA6F95" w:rsidRDefault="00BE4CCA" w:rsidP="00BE4CCA">
            <w:pPr>
              <w:rPr>
                <w:rFonts w:ascii="Avenir Medium" w:hAnsi="Avenir Medium"/>
                <w:color w:val="000000" w:themeColor="text1"/>
              </w:rPr>
            </w:pPr>
          </w:p>
        </w:tc>
      </w:tr>
      <w:tr w:rsidR="00450A3F" w:rsidRPr="00F00EFC" w14:paraId="5D90E289" w14:textId="77777777" w:rsidTr="00FB58D0">
        <w:trPr>
          <w:gridAfter w:val="1"/>
          <w:wAfter w:w="139" w:type="dxa"/>
          <w:trHeight w:val="547"/>
        </w:trPr>
        <w:tc>
          <w:tcPr>
            <w:tcW w:w="14880" w:type="dxa"/>
            <w:shd w:val="clear" w:color="auto" w:fill="BB47A5"/>
            <w:vAlign w:val="center"/>
          </w:tcPr>
          <w:p w14:paraId="01250068" w14:textId="77777777" w:rsidR="00450A3F" w:rsidRDefault="00450A3F" w:rsidP="006F4A12">
            <w:pPr>
              <w:jc w:val="center"/>
              <w:rPr>
                <w:rFonts w:ascii="Avenir Medium" w:hAnsi="Avenir Medium"/>
                <w:color w:val="29879B"/>
                <w:highlight w:val="yellow"/>
              </w:rPr>
            </w:pPr>
            <w:r>
              <w:rPr>
                <w:rFonts w:ascii="Avenir Medium" w:hAnsi="Avenir Medium"/>
                <w:noProof/>
                <w:color w:val="FFFFFF" w:themeColor="background1"/>
                <w:lang w:eastAsia="it-IT"/>
              </w:rPr>
              <w:drawing>
                <wp:inline distT="0" distB="0" distL="0" distR="0" wp14:anchorId="557EE315" wp14:editId="7CBACD72">
                  <wp:extent cx="546100" cy="582507"/>
                  <wp:effectExtent l="0" t="0" r="0" b="1905"/>
                  <wp:docPr id="6" name="Immagine 6" descr="Immagine che contiene linea, schermata, design, simbol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6" descr="Immagine che contiene linea, schermata, design, simbolo&#10;&#10;Il contenuto generato dall'IA potrebbe non essere corretto.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910" cy="583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8D44B1" w14:textId="77777777" w:rsidR="00450A3F" w:rsidRPr="00F00EFC" w:rsidRDefault="00450A3F" w:rsidP="006F4A12">
            <w:pPr>
              <w:jc w:val="center"/>
              <w:rPr>
                <w:rFonts w:ascii="Avenir Medium" w:hAnsi="Avenir Medium"/>
                <w:b/>
                <w:color w:val="000000" w:themeColor="text1"/>
              </w:rPr>
            </w:pPr>
            <w:r>
              <w:rPr>
                <w:rFonts w:ascii="Avenir Medium" w:hAnsi="Avenir Medium"/>
                <w:b/>
                <w:color w:val="FFFFFF" w:themeColor="background1"/>
              </w:rPr>
              <w:t>ARGOMENTI PRINCIPALI DELL’EDUCATIONAL CLUSTER</w:t>
            </w:r>
          </w:p>
        </w:tc>
      </w:tr>
      <w:tr w:rsidR="00FB58D0" w:rsidRPr="00F00EFC" w14:paraId="29F7B6E9" w14:textId="77777777" w:rsidTr="00FB58D0">
        <w:trPr>
          <w:trHeight w:val="547"/>
        </w:trPr>
        <w:tc>
          <w:tcPr>
            <w:tcW w:w="15019" w:type="dxa"/>
            <w:gridSpan w:val="2"/>
          </w:tcPr>
          <w:p w14:paraId="4E173F13" w14:textId="77777777" w:rsidR="00D0333F" w:rsidRDefault="00D0333F" w:rsidP="006F4A12">
            <w:pPr>
              <w:rPr>
                <w:rFonts w:ascii="Avenir Medium" w:hAnsi="Avenir Medium"/>
                <w:color w:val="000000" w:themeColor="text1"/>
              </w:rPr>
            </w:pPr>
          </w:p>
          <w:p w14:paraId="35BC6AA7" w14:textId="77777777" w:rsidR="00196A31" w:rsidRDefault="00196A31" w:rsidP="00196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L’Educational Cluster si propone di trattare le seguenti tematiche:</w:t>
            </w:r>
          </w:p>
          <w:p w14:paraId="185468A7" w14:textId="77777777" w:rsidR="00196A31" w:rsidRDefault="00196A31" w:rsidP="0088396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i fondamenti teorici della Media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Literacy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Education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>;</w:t>
            </w:r>
          </w:p>
          <w:p w14:paraId="793F9C4A" w14:textId="77777777" w:rsidR="00196A31" w:rsidRDefault="00196A31" w:rsidP="0088396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il quadrante metodologico della Media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Literacy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Education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>;</w:t>
            </w:r>
          </w:p>
          <w:p w14:paraId="185BC9FB" w14:textId="77777777" w:rsidR="00196A31" w:rsidRDefault="00196A31" w:rsidP="0088396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i modelli di blended learning e le variabili per la progettazione;</w:t>
            </w:r>
          </w:p>
          <w:p w14:paraId="146068D8" w14:textId="77777777" w:rsidR="00196A31" w:rsidRDefault="00196A31" w:rsidP="0088396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strumenti di comunicazione sincroni e asincroni per la moderazione e la regolazione dell’apprendimento in situazioni ibride;</w:t>
            </w:r>
          </w:p>
          <w:p w14:paraId="51A2E4F5" w14:textId="77777777" w:rsidR="00196A31" w:rsidRDefault="00196A31" w:rsidP="0088396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la valutazione come dimensione strategica per le professioni educative.</w:t>
            </w:r>
          </w:p>
          <w:p w14:paraId="71367793" w14:textId="77777777" w:rsidR="00196A31" w:rsidRDefault="00196A31" w:rsidP="00196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</w:p>
          <w:p w14:paraId="519623CF" w14:textId="77777777" w:rsidR="00196A31" w:rsidRDefault="00196A31" w:rsidP="00196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Nel </w:t>
            </w:r>
            <w:r>
              <w:rPr>
                <w:rFonts w:ascii="Avenir" w:eastAsia="Avenir" w:hAnsi="Avenir" w:cs="Avenir"/>
                <w:b/>
                <w:color w:val="000000"/>
              </w:rPr>
              <w:t>Modulo 1</w:t>
            </w:r>
            <w:r>
              <w:rPr>
                <w:rFonts w:ascii="Avenir" w:eastAsia="Avenir" w:hAnsi="Avenir" w:cs="Avenir"/>
                <w:color w:val="000000"/>
              </w:rPr>
              <w:t xml:space="preserve"> (Fondamenti della Media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Literacy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Education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tra ricerca e intervento) verranno affrontati i seguenti argomenti:</w:t>
            </w:r>
          </w:p>
          <w:p w14:paraId="07E89B23" w14:textId="77777777" w:rsidR="00196A31" w:rsidRDefault="00196A31" w:rsidP="0088396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lo scenario attuale della Media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Literacy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Education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; </w:t>
            </w:r>
          </w:p>
          <w:p w14:paraId="01944684" w14:textId="77777777" w:rsidR="00196A31" w:rsidRDefault="00196A31" w:rsidP="0088396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l’evoluzione del paradigma della MLE;</w:t>
            </w:r>
          </w:p>
          <w:p w14:paraId="3061DD4B" w14:textId="77777777" w:rsidR="00196A31" w:rsidRDefault="00196A31" w:rsidP="0088396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gli approcci teorici, con riferimento alla letteratura scientifica internazionale;</w:t>
            </w:r>
          </w:p>
          <w:p w14:paraId="35734796" w14:textId="77777777" w:rsidR="00196A31" w:rsidRDefault="00196A31" w:rsidP="0088396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gli ambiti di lavoro della Media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Literacy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Education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e le specificità di ciascuno. </w:t>
            </w:r>
          </w:p>
          <w:p w14:paraId="228E1375" w14:textId="77777777" w:rsidR="00196A31" w:rsidRDefault="00196A31" w:rsidP="0088396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</w:p>
          <w:p w14:paraId="3F8D3616" w14:textId="77777777" w:rsidR="00196A31" w:rsidRDefault="00196A31" w:rsidP="00196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Il </w:t>
            </w:r>
            <w:r>
              <w:rPr>
                <w:rFonts w:ascii="Avenir" w:eastAsia="Avenir" w:hAnsi="Avenir" w:cs="Avenir"/>
                <w:b/>
                <w:color w:val="000000"/>
              </w:rPr>
              <w:t>Modulo 2</w:t>
            </w:r>
            <w:r>
              <w:rPr>
                <w:rFonts w:ascii="Avenir" w:eastAsia="Avenir" w:hAnsi="Avenir" w:cs="Avenir"/>
                <w:color w:val="000000"/>
              </w:rPr>
              <w:t xml:space="preserve"> (La questione metodologica tra scienze dell’educazione e della comunicazione) si concentrerà sui seguenti temi:</w:t>
            </w:r>
          </w:p>
          <w:p w14:paraId="2760C7E1" w14:textId="77777777" w:rsidR="00196A31" w:rsidRDefault="00196A31" w:rsidP="0088396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il quadrante metodologico tra Scienze della Comunicazione e Scienze dell’Educazione;</w:t>
            </w:r>
          </w:p>
          <w:p w14:paraId="46E0CD11" w14:textId="77777777" w:rsidR="00196A31" w:rsidRDefault="00196A31" w:rsidP="0088396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metodi, tecniche e strumenti della MLE;</w:t>
            </w:r>
            <w:r>
              <w:rPr>
                <w:rFonts w:ascii="Avenir" w:eastAsia="Avenir" w:hAnsi="Avenir" w:cs="Avenir"/>
                <w:color w:val="000000"/>
              </w:rPr>
              <w:tab/>
              <w:t xml:space="preserve"> </w:t>
            </w:r>
          </w:p>
          <w:p w14:paraId="3927E635" w14:textId="77777777" w:rsidR="00196A31" w:rsidRDefault="00196A31" w:rsidP="0088396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l’analisi in ambito media educativo;</w:t>
            </w:r>
          </w:p>
          <w:p w14:paraId="4AB761B6" w14:textId="77777777" w:rsidR="00196A31" w:rsidRPr="0092783B" w:rsidRDefault="00196A31" w:rsidP="0088396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  <w:lang w:val="en-US"/>
              </w:rPr>
            </w:pPr>
            <w:r w:rsidRPr="0092783B">
              <w:rPr>
                <w:rFonts w:ascii="Avenir" w:eastAsia="Avenir" w:hAnsi="Avenir" w:cs="Avenir"/>
                <w:color w:val="000000"/>
                <w:lang w:val="en-US"/>
              </w:rPr>
              <w:t>la peer and media education.</w:t>
            </w:r>
          </w:p>
          <w:p w14:paraId="782C5084" w14:textId="77777777" w:rsidR="00196A31" w:rsidRPr="0092783B" w:rsidRDefault="00196A31" w:rsidP="00196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  <w:lang w:val="en-US"/>
              </w:rPr>
            </w:pPr>
          </w:p>
          <w:p w14:paraId="5719CA25" w14:textId="77777777" w:rsidR="00196A31" w:rsidRDefault="00196A31" w:rsidP="00196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Il </w:t>
            </w:r>
            <w:r>
              <w:rPr>
                <w:rFonts w:ascii="Avenir" w:eastAsia="Avenir" w:hAnsi="Avenir" w:cs="Avenir"/>
                <w:b/>
                <w:color w:val="000000"/>
              </w:rPr>
              <w:t>Modulo 3</w:t>
            </w:r>
            <w:r>
              <w:rPr>
                <w:rFonts w:ascii="Avenir" w:eastAsia="Avenir" w:hAnsi="Avenir" w:cs="Avenir"/>
                <w:color w:val="000000"/>
              </w:rPr>
              <w:t xml:space="preserve"> (Apprendere in contesti ibridi) toccherà i seguenti temi:</w:t>
            </w:r>
          </w:p>
          <w:p w14:paraId="136CC064" w14:textId="77777777" w:rsidR="00196A31" w:rsidRDefault="00196A31" w:rsidP="0088396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apprendere a distanza;</w:t>
            </w:r>
          </w:p>
          <w:p w14:paraId="4E1D72BA" w14:textId="77777777" w:rsidR="00196A31" w:rsidRDefault="00196A31" w:rsidP="0088396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il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Conversational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framework; </w:t>
            </w:r>
          </w:p>
          <w:p w14:paraId="5AC71E76" w14:textId="77777777" w:rsidR="00196A31" w:rsidRDefault="00196A31" w:rsidP="0088396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l’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Instructional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Designing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; </w:t>
            </w:r>
          </w:p>
          <w:p w14:paraId="23E88D5B" w14:textId="77777777" w:rsidR="00196A31" w:rsidRDefault="00196A31" w:rsidP="0088396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le tecnologie a supporto delle attività di insegnamento in contesti ibridi.</w:t>
            </w:r>
          </w:p>
          <w:p w14:paraId="2B839288" w14:textId="77777777" w:rsidR="00196A31" w:rsidRDefault="00196A31" w:rsidP="00196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</w:p>
          <w:p w14:paraId="71994744" w14:textId="77777777" w:rsidR="00196A31" w:rsidRDefault="00196A31" w:rsidP="00196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Il </w:t>
            </w:r>
            <w:r>
              <w:rPr>
                <w:rFonts w:ascii="Avenir" w:eastAsia="Avenir" w:hAnsi="Avenir" w:cs="Avenir"/>
                <w:b/>
                <w:color w:val="000000"/>
              </w:rPr>
              <w:t>Modulo 4</w:t>
            </w:r>
            <w:r>
              <w:rPr>
                <w:rFonts w:ascii="Avenir" w:eastAsia="Avenir" w:hAnsi="Avenir" w:cs="Avenir"/>
                <w:color w:val="000000"/>
              </w:rPr>
              <w:t xml:space="preserve"> (Logiche, metodi e strumenti di valutazione nella Media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Education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>) toccherà i seguenti temi:</w:t>
            </w:r>
          </w:p>
          <w:p w14:paraId="204FF012" w14:textId="77777777" w:rsidR="00196A31" w:rsidRDefault="00196A31" w:rsidP="0088396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la valutazione come dimensione essenziale delle professioni educative; </w:t>
            </w:r>
          </w:p>
          <w:p w14:paraId="35B99976" w14:textId="77777777" w:rsidR="00196A31" w:rsidRDefault="00196A31" w:rsidP="0088396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logiche, scenari e contesti della valutazione;</w:t>
            </w:r>
          </w:p>
          <w:p w14:paraId="2C41232D" w14:textId="77777777" w:rsidR="00196A31" w:rsidRDefault="00196A31" w:rsidP="0088396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la valutazione delle attività progettuali;</w:t>
            </w:r>
          </w:p>
          <w:p w14:paraId="0B437DB9" w14:textId="77777777" w:rsidR="00D0333F" w:rsidRDefault="00196A31" w:rsidP="00196A31">
            <w:pPr>
              <w:pStyle w:val="Paragrafoelenco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la costruzione di dispositivi e strumenti di valutazione.</w:t>
            </w:r>
          </w:p>
          <w:p w14:paraId="0478D107" w14:textId="59EF50FC" w:rsidR="00196A31" w:rsidRPr="003A3F2D" w:rsidRDefault="00196A31" w:rsidP="00196A31">
            <w:pPr>
              <w:pStyle w:val="Paragrafoelenco"/>
              <w:rPr>
                <w:rFonts w:ascii="Avenir Medium" w:hAnsi="Avenir Medium"/>
                <w:color w:val="000000" w:themeColor="text1"/>
              </w:rPr>
            </w:pPr>
          </w:p>
        </w:tc>
      </w:tr>
    </w:tbl>
    <w:p w14:paraId="1F30D96B" w14:textId="77777777" w:rsidR="00450A3F" w:rsidRDefault="00450A3F" w:rsidP="00450A3F">
      <w:pPr>
        <w:ind w:left="-426"/>
        <w:jc w:val="both"/>
        <w:rPr>
          <w:rFonts w:ascii="Avenir Medium" w:hAnsi="Avenir Medium"/>
          <w:color w:val="29879B"/>
        </w:rPr>
      </w:pPr>
    </w:p>
    <w:p w14:paraId="3011B05E" w14:textId="79DD07F0" w:rsidR="00450A3F" w:rsidRDefault="00450A3F" w:rsidP="00450A3F">
      <w:pPr>
        <w:rPr>
          <w:rFonts w:ascii="Avenir Medium" w:hAnsi="Avenir Medium"/>
          <w:color w:val="29879B"/>
        </w:rPr>
      </w:pPr>
    </w:p>
    <w:p w14:paraId="4829483D" w14:textId="77777777" w:rsidR="00616D1F" w:rsidRDefault="00616D1F">
      <w:r>
        <w:br w:type="page"/>
      </w:r>
    </w:p>
    <w:tbl>
      <w:tblPr>
        <w:tblStyle w:val="Grigliatabella"/>
        <w:tblW w:w="14880" w:type="dxa"/>
        <w:tblInd w:w="-426" w:type="dxa"/>
        <w:tblLook w:val="04A0" w:firstRow="1" w:lastRow="0" w:firstColumn="1" w:lastColumn="0" w:noHBand="0" w:noVBand="1"/>
      </w:tblPr>
      <w:tblGrid>
        <w:gridCol w:w="14880"/>
      </w:tblGrid>
      <w:tr w:rsidR="00450A3F" w14:paraId="10349F7E" w14:textId="77777777" w:rsidTr="006F4A12">
        <w:trPr>
          <w:trHeight w:val="435"/>
        </w:trPr>
        <w:tc>
          <w:tcPr>
            <w:tcW w:w="14880" w:type="dxa"/>
            <w:tcBorders>
              <w:top w:val="thinThickSmallGap" w:sz="24" w:space="0" w:color="9C5FBB"/>
              <w:left w:val="outset" w:sz="6" w:space="0" w:color="auto"/>
              <w:right w:val="outset" w:sz="6" w:space="0" w:color="auto"/>
            </w:tcBorders>
            <w:vAlign w:val="center"/>
          </w:tcPr>
          <w:p w14:paraId="31A7DF77" w14:textId="6BEB97BE" w:rsidR="00450A3F" w:rsidRPr="001F6927" w:rsidRDefault="00450A3F" w:rsidP="006F4A12">
            <w:pPr>
              <w:jc w:val="center"/>
              <w:rPr>
                <w:rFonts w:ascii="Avenir Medium" w:hAnsi="Avenir Medium"/>
                <w:b/>
                <w:color w:val="002060"/>
                <w:sz w:val="32"/>
                <w:szCs w:val="32"/>
              </w:rPr>
            </w:pPr>
            <w:r w:rsidRPr="001865E2">
              <w:rPr>
                <w:rFonts w:ascii="Avenir Medium" w:hAnsi="Avenir Medium"/>
                <w:b/>
                <w:color w:val="000000" w:themeColor="text1"/>
                <w:sz w:val="32"/>
                <w:szCs w:val="32"/>
              </w:rPr>
              <w:lastRenderedPageBreak/>
              <w:t>AREA DELLA VALUTAZIONE</w:t>
            </w:r>
          </w:p>
        </w:tc>
      </w:tr>
      <w:tr w:rsidR="00450A3F" w14:paraId="3D3B13AB" w14:textId="77777777" w:rsidTr="006F4A12">
        <w:trPr>
          <w:trHeight w:val="547"/>
        </w:trPr>
        <w:tc>
          <w:tcPr>
            <w:tcW w:w="14880" w:type="dxa"/>
            <w:shd w:val="clear" w:color="auto" w:fill="9C5FBB"/>
            <w:vAlign w:val="center"/>
          </w:tcPr>
          <w:p w14:paraId="4DD74E48" w14:textId="77777777" w:rsidR="00450A3F" w:rsidRDefault="00450A3F" w:rsidP="006F4A12">
            <w:pPr>
              <w:jc w:val="center"/>
              <w:rPr>
                <w:rFonts w:ascii="Avenir Medium" w:hAnsi="Avenir Medium"/>
                <w:color w:val="29879B"/>
                <w:highlight w:val="yellow"/>
              </w:rPr>
            </w:pPr>
            <w:r>
              <w:rPr>
                <w:rFonts w:ascii="Avenir Medium" w:hAnsi="Avenir Medium"/>
                <w:noProof/>
                <w:color w:val="FFFFFF" w:themeColor="background1"/>
                <w:lang w:eastAsia="it-IT"/>
              </w:rPr>
              <w:drawing>
                <wp:inline distT="0" distB="0" distL="0" distR="0" wp14:anchorId="7CF99480" wp14:editId="25689476">
                  <wp:extent cx="711200" cy="758614"/>
                  <wp:effectExtent l="0" t="0" r="0" b="0"/>
                  <wp:docPr id="8" name="Immagine 8" descr="Immagine che contiene Carattere, simbolo, Elementi grafici, log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magine 8" descr="Immagine che contiene Carattere, simbolo, Elementi grafici, logo&#10;&#10;Il contenuto generato dall'IA potrebbe non essere corretto.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586" cy="759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E3121F" w14:textId="77777777" w:rsidR="00450A3F" w:rsidRPr="00EF3D53" w:rsidRDefault="00450A3F" w:rsidP="006F4A12">
            <w:pPr>
              <w:jc w:val="center"/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b/>
                <w:color w:val="FFFFFF" w:themeColor="background1"/>
              </w:rPr>
              <w:t xml:space="preserve">MODALITÀ DI VALUTAZIONE </w:t>
            </w:r>
          </w:p>
        </w:tc>
      </w:tr>
      <w:tr w:rsidR="00FB58D0" w14:paraId="76AB8DB7" w14:textId="77777777" w:rsidTr="00FB58D0">
        <w:trPr>
          <w:trHeight w:val="547"/>
        </w:trPr>
        <w:tc>
          <w:tcPr>
            <w:tcW w:w="14880" w:type="dxa"/>
            <w:vAlign w:val="center"/>
          </w:tcPr>
          <w:p w14:paraId="2A0A23DE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</w:p>
          <w:p w14:paraId="22BB6F5A" w14:textId="68A200EB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La valutazione complessiva si compone come segue: </w:t>
            </w:r>
          </w:p>
          <w:p w14:paraId="0BAB8CD7" w14:textId="77777777" w:rsidR="00A24F65" w:rsidRDefault="00A24F65" w:rsidP="0088396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un esame orale funzionale alla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metariflessione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(affondo sulle competenze acquisite e sulle attività svolte) e all’approfondimento dei nodi concettuali del Cluster (attraverso la bibliografia indicata in ciascun modulo);</w:t>
            </w:r>
          </w:p>
          <w:p w14:paraId="4F46CFF9" w14:textId="77777777" w:rsidR="00A24F65" w:rsidRDefault="00A24F65" w:rsidP="0088396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una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etivity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per modulo (4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etivity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>).</w:t>
            </w:r>
          </w:p>
          <w:p w14:paraId="6AA56250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  <w:sz w:val="18"/>
                <w:szCs w:val="18"/>
              </w:rPr>
            </w:pPr>
          </w:p>
          <w:p w14:paraId="65B9959D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Si adotteranno i seguenti criteri.</w:t>
            </w:r>
          </w:p>
          <w:p w14:paraId="1BADA039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Per la prova orale: </w:t>
            </w:r>
          </w:p>
          <w:p w14:paraId="6EE86BAB" w14:textId="77777777" w:rsidR="00A24F65" w:rsidRDefault="00A24F65" w:rsidP="0088396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la chiarezza espositiva; </w:t>
            </w:r>
          </w:p>
          <w:p w14:paraId="65776B77" w14:textId="77777777" w:rsidR="00A24F65" w:rsidRDefault="00A24F65" w:rsidP="0088396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la conoscenza delle linee generali della materia; </w:t>
            </w:r>
          </w:p>
          <w:p w14:paraId="3162A73F" w14:textId="77777777" w:rsidR="00A24F65" w:rsidRDefault="00A24F65" w:rsidP="0088396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la capacità di collegare le questioni generali alle tematiche specifiche affrontate nei moduli del Cluster e nei testi;</w:t>
            </w:r>
          </w:p>
          <w:p w14:paraId="30B6EEC2" w14:textId="77777777" w:rsidR="00A24F65" w:rsidRDefault="00A24F65" w:rsidP="0088396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la capacità di ragionamento;</w:t>
            </w:r>
          </w:p>
          <w:p w14:paraId="74F25E44" w14:textId="77777777" w:rsidR="00A24F65" w:rsidRDefault="00A24F65" w:rsidP="0088396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la proprietà di linguaggio e le abilità comunicative.</w:t>
            </w:r>
          </w:p>
          <w:p w14:paraId="11175616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Per le e-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tivity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>:</w:t>
            </w:r>
          </w:p>
          <w:p w14:paraId="474E3560" w14:textId="77777777" w:rsidR="00A24F65" w:rsidRDefault="00A24F65" w:rsidP="0088396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qualità delle riflessioni condivise;</w:t>
            </w:r>
          </w:p>
          <w:p w14:paraId="1E62843C" w14:textId="77777777" w:rsidR="00A24F65" w:rsidRDefault="00A24F65" w:rsidP="0088396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originalità;</w:t>
            </w:r>
          </w:p>
          <w:p w14:paraId="4477BBE7" w14:textId="77777777" w:rsidR="00A24F65" w:rsidRDefault="00A24F65" w:rsidP="0088396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completezza rispetto alla traccia fornita;</w:t>
            </w:r>
          </w:p>
          <w:p w14:paraId="4070590C" w14:textId="77777777" w:rsidR="00A24F65" w:rsidRDefault="00A24F65" w:rsidP="0088396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>padronanza del linguaggio richiesto per rispondere al task.</w:t>
            </w:r>
          </w:p>
          <w:p w14:paraId="3114E9D1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color w:val="000000"/>
                <w:sz w:val="20"/>
                <w:szCs w:val="20"/>
              </w:rPr>
            </w:pPr>
          </w:p>
          <w:p w14:paraId="0A5AC335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color w:val="000000"/>
              </w:rPr>
            </w:pPr>
            <w:r>
              <w:rPr>
                <w:rFonts w:ascii="Avenir" w:eastAsia="Avenir" w:hAnsi="Avenir" w:cs="Avenir"/>
                <w:color w:val="000000"/>
              </w:rPr>
              <w:t xml:space="preserve">Il completamento delle 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etivity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è propedeutico allo svolgimento della prova orale del Cluster. Il voto è espresso in trentesimi. La prova viene considerata superata al raggiungimento del punteggio di 18/30 e comporta il rilascio del Milestone Badge. Il voto finale del cluster è dato dal voto dell’orale (che pesa per il 50% del voto finale) e dalle 4 e-</w:t>
            </w:r>
            <w:proofErr w:type="spellStart"/>
            <w:r>
              <w:rPr>
                <w:rFonts w:ascii="Avenir" w:eastAsia="Avenir" w:hAnsi="Avenir" w:cs="Avenir"/>
                <w:color w:val="000000"/>
              </w:rPr>
              <w:t>tivity</w:t>
            </w:r>
            <w:proofErr w:type="spellEnd"/>
            <w:r>
              <w:rPr>
                <w:rFonts w:ascii="Avenir" w:eastAsia="Avenir" w:hAnsi="Avenir" w:cs="Avenir"/>
                <w:color w:val="000000"/>
              </w:rPr>
              <w:t xml:space="preserve"> (che pesano per il restante 50%). Gli appelli si svolgono nei momenti previsti dal calendario didattico della Facoltà.</w:t>
            </w:r>
          </w:p>
          <w:p w14:paraId="56FF7848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color w:val="000000"/>
              </w:rPr>
            </w:pPr>
          </w:p>
          <w:p w14:paraId="6E37ED0B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b/>
                <w:color w:val="000000"/>
              </w:rPr>
            </w:pPr>
          </w:p>
          <w:p w14:paraId="43AA90BD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b/>
                <w:color w:val="000000"/>
              </w:rPr>
            </w:pPr>
          </w:p>
          <w:p w14:paraId="21B64C8E" w14:textId="0B365E38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b/>
                <w:color w:val="000000"/>
              </w:rPr>
            </w:pPr>
            <w:r>
              <w:rPr>
                <w:rFonts w:ascii="Avenir" w:eastAsia="Avenir" w:hAnsi="Avenir" w:cs="Avenir"/>
                <w:b/>
                <w:color w:val="000000"/>
              </w:rPr>
              <w:lastRenderedPageBreak/>
              <w:t>Bibliografia d’esame</w:t>
            </w:r>
            <w:r w:rsidR="0067089A">
              <w:rPr>
                <w:rStyle w:val="Rimandonotaapidipagina"/>
                <w:rFonts w:ascii="Avenir" w:eastAsia="Avenir" w:hAnsi="Avenir" w:cs="Avenir"/>
                <w:b/>
                <w:color w:val="000000"/>
              </w:rPr>
              <w:footnoteReference w:id="1"/>
            </w:r>
          </w:p>
          <w:p w14:paraId="1350C6BE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color w:val="000000"/>
              </w:rPr>
            </w:pPr>
          </w:p>
          <w:p w14:paraId="69A3BABA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  <w:color w:val="000000"/>
                <w:u w:val="single"/>
              </w:rPr>
              <w:t>Modul</w:t>
            </w:r>
            <w:r>
              <w:rPr>
                <w:rFonts w:ascii="Avenir" w:eastAsia="Avenir" w:hAnsi="Avenir" w:cs="Avenir"/>
                <w:u w:val="single"/>
              </w:rPr>
              <w:t>o 1</w:t>
            </w:r>
            <w:r>
              <w:rPr>
                <w:rFonts w:ascii="Avenir" w:eastAsia="Avenir" w:hAnsi="Avenir" w:cs="Avenir"/>
                <w:color w:val="000000"/>
                <w:u w:val="single"/>
              </w:rPr>
              <w:t>:</w:t>
            </w:r>
            <w:r>
              <w:rPr>
                <w:rFonts w:ascii="Avenir" w:eastAsia="Avenir" w:hAnsi="Avenir" w:cs="Avenir"/>
              </w:rPr>
              <w:t xml:space="preserve"> </w:t>
            </w:r>
          </w:p>
          <w:p w14:paraId="493F54ED" w14:textId="7F0F47F2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 xml:space="preserve">Rivoltella, P. C. (2020). </w:t>
            </w:r>
            <w:r>
              <w:rPr>
                <w:rFonts w:ascii="Avenir" w:eastAsia="Avenir" w:hAnsi="Avenir" w:cs="Avenir"/>
                <w:i/>
              </w:rPr>
              <w:t>Nuovi alfabeti</w:t>
            </w:r>
            <w:r>
              <w:rPr>
                <w:rFonts w:ascii="Avenir" w:eastAsia="Avenir" w:hAnsi="Avenir" w:cs="Avenir"/>
              </w:rPr>
              <w:t xml:space="preserve">. </w:t>
            </w:r>
            <w:proofErr w:type="spellStart"/>
            <w:r>
              <w:rPr>
                <w:rFonts w:ascii="Avenir" w:eastAsia="Avenir" w:hAnsi="Avenir" w:cs="Avenir"/>
              </w:rPr>
              <w:t>Scholé</w:t>
            </w:r>
            <w:proofErr w:type="spellEnd"/>
            <w:r>
              <w:rPr>
                <w:rFonts w:ascii="Avenir" w:eastAsia="Avenir" w:hAnsi="Avenir" w:cs="Avenir"/>
              </w:rPr>
              <w:t>: Brescia.</w:t>
            </w:r>
            <w:r w:rsidR="0067089A">
              <w:t xml:space="preserve"> </w:t>
            </w:r>
            <w:hyperlink r:id="rId19" w:history="1">
              <w:r w:rsidR="0067089A" w:rsidRPr="0067089A">
                <w:rPr>
                  <w:rStyle w:val="Collegamentoipertestuale"/>
                  <w:rFonts w:ascii="Avenir" w:eastAsia="Avenir" w:hAnsi="Avenir" w:cs="Avenir"/>
                </w:rPr>
                <w:t>Acquista da VP</w:t>
              </w:r>
            </w:hyperlink>
          </w:p>
          <w:p w14:paraId="1DA9DC65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  <w:u w:val="single"/>
              </w:rPr>
              <w:t>Modulo 2:</w:t>
            </w:r>
            <w:r>
              <w:rPr>
                <w:rFonts w:ascii="Avenir" w:eastAsia="Avenir" w:hAnsi="Avenir" w:cs="Avenir"/>
              </w:rPr>
              <w:t xml:space="preserve"> </w:t>
            </w:r>
          </w:p>
          <w:p w14:paraId="1878CF6F" w14:textId="1BE6FC93" w:rsidR="00A24F65" w:rsidRDefault="00A24F65" w:rsidP="00A24F6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</w:rPr>
            </w:pPr>
            <w:proofErr w:type="spellStart"/>
            <w:r>
              <w:rPr>
                <w:rFonts w:ascii="Avenir" w:eastAsia="Avenir" w:hAnsi="Avenir" w:cs="Avenir"/>
              </w:rPr>
              <w:t>Carenzio</w:t>
            </w:r>
            <w:proofErr w:type="spellEnd"/>
            <w:r>
              <w:rPr>
                <w:rFonts w:ascii="Avenir" w:eastAsia="Avenir" w:hAnsi="Avenir" w:cs="Avenir"/>
              </w:rPr>
              <w:t xml:space="preserve">, A. Farinacci E. (2023). </w:t>
            </w:r>
            <w:r>
              <w:rPr>
                <w:rFonts w:ascii="Avenir" w:eastAsia="Avenir" w:hAnsi="Avenir" w:cs="Avenir"/>
                <w:i/>
              </w:rPr>
              <w:t>Dentro Black Mirror. Media, società, educazione</w:t>
            </w:r>
            <w:r>
              <w:rPr>
                <w:rFonts w:ascii="Avenir" w:eastAsia="Avenir" w:hAnsi="Avenir" w:cs="Avenir"/>
              </w:rPr>
              <w:t xml:space="preserve">. </w:t>
            </w:r>
            <w:proofErr w:type="spellStart"/>
            <w:r>
              <w:rPr>
                <w:rFonts w:ascii="Avenir" w:eastAsia="Avenir" w:hAnsi="Avenir" w:cs="Avenir"/>
              </w:rPr>
              <w:t>Scholè</w:t>
            </w:r>
            <w:proofErr w:type="spellEnd"/>
            <w:r>
              <w:rPr>
                <w:rFonts w:ascii="Avenir" w:eastAsia="Avenir" w:hAnsi="Avenir" w:cs="Avenir"/>
              </w:rPr>
              <w:t>: Brescia.</w:t>
            </w:r>
            <w:r w:rsidR="0067089A">
              <w:t xml:space="preserve"> </w:t>
            </w:r>
            <w:hyperlink r:id="rId20" w:history="1">
              <w:r w:rsidR="0067089A" w:rsidRPr="0067089A">
                <w:rPr>
                  <w:rStyle w:val="Collegamentoipertestuale"/>
                  <w:rFonts w:ascii="Avenir" w:eastAsia="Avenir" w:hAnsi="Avenir" w:cs="Avenir"/>
                </w:rPr>
                <w:t>Acquista da VP</w:t>
              </w:r>
            </w:hyperlink>
          </w:p>
          <w:p w14:paraId="6DBA8666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u w:val="single"/>
              </w:rPr>
            </w:pPr>
            <w:r>
              <w:rPr>
                <w:rFonts w:ascii="Avenir" w:eastAsia="Avenir" w:hAnsi="Avenir" w:cs="Avenir"/>
                <w:u w:val="single"/>
              </w:rPr>
              <w:t>Modulo 3:</w:t>
            </w:r>
          </w:p>
          <w:p w14:paraId="27C2F649" w14:textId="640046CB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 xml:space="preserve">Rivoltella, P. C. (2021) (a cura di). </w:t>
            </w:r>
            <w:r>
              <w:rPr>
                <w:rFonts w:ascii="Avenir" w:eastAsia="Avenir" w:hAnsi="Avenir" w:cs="Avenir"/>
                <w:i/>
              </w:rPr>
              <w:t>Apprendere a distanza. Teorie e metodi</w:t>
            </w:r>
            <w:r>
              <w:rPr>
                <w:rFonts w:ascii="Avenir" w:eastAsia="Avenir" w:hAnsi="Avenir" w:cs="Avenir"/>
              </w:rPr>
              <w:t>. Cortina Editore: Milano (Parte 2 per intero, Parte 3 Capitoli 1, 2 e 3 e Scheda 6, Parte 4 Capitoli 1, 2, 3 e Scheda 9).</w:t>
            </w:r>
            <w:r w:rsidR="0067089A">
              <w:t xml:space="preserve"> </w:t>
            </w:r>
            <w:hyperlink r:id="rId21" w:history="1">
              <w:r w:rsidR="0067089A" w:rsidRPr="0067089A">
                <w:rPr>
                  <w:rStyle w:val="Collegamentoipertestuale"/>
                  <w:rFonts w:ascii="Avenir" w:eastAsia="Avenir" w:hAnsi="Avenir" w:cs="Avenir"/>
                </w:rPr>
                <w:t>Acquista da VP</w:t>
              </w:r>
            </w:hyperlink>
          </w:p>
          <w:p w14:paraId="7D6F127A" w14:textId="77777777" w:rsidR="00A24F65" w:rsidRDefault="00A24F65" w:rsidP="00A24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u w:val="single"/>
              </w:rPr>
            </w:pPr>
            <w:r>
              <w:rPr>
                <w:rFonts w:ascii="Avenir" w:eastAsia="Avenir" w:hAnsi="Avenir" w:cs="Avenir"/>
                <w:color w:val="000000"/>
                <w:u w:val="single"/>
              </w:rPr>
              <w:t xml:space="preserve">Modulo 4: </w:t>
            </w:r>
          </w:p>
          <w:p w14:paraId="03B59857" w14:textId="70BB2E47" w:rsidR="00FB58D0" w:rsidRDefault="00A24F65" w:rsidP="00A24F65">
            <w:pPr>
              <w:jc w:val="both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 xml:space="preserve">Montalbetti K. (2024). </w:t>
            </w:r>
            <w:r>
              <w:rPr>
                <w:rFonts w:ascii="Avenir" w:eastAsia="Avenir" w:hAnsi="Avenir" w:cs="Avenir"/>
                <w:i/>
              </w:rPr>
              <w:t>Valutare in campo educativo e formativo</w:t>
            </w:r>
            <w:r>
              <w:rPr>
                <w:rFonts w:ascii="Avenir" w:eastAsia="Avenir" w:hAnsi="Avenir" w:cs="Avenir"/>
              </w:rPr>
              <w:t>. Vita e Pensiero: Milano</w:t>
            </w:r>
            <w:r w:rsidR="0067089A">
              <w:t xml:space="preserve"> </w:t>
            </w:r>
            <w:hyperlink r:id="rId22" w:history="1">
              <w:r w:rsidR="0067089A" w:rsidRPr="0067089A">
                <w:rPr>
                  <w:rStyle w:val="Collegamentoipertestuale"/>
                  <w:rFonts w:ascii="Avenir" w:eastAsia="Avenir" w:hAnsi="Avenir" w:cs="Avenir"/>
                </w:rPr>
                <w:t>Acquista da VP</w:t>
              </w:r>
            </w:hyperlink>
          </w:p>
          <w:p w14:paraId="24269194" w14:textId="2924C8DC" w:rsidR="00A24F65" w:rsidRPr="00EF3D53" w:rsidRDefault="00A24F65" w:rsidP="00A24F65">
            <w:pPr>
              <w:jc w:val="both"/>
              <w:rPr>
                <w:rFonts w:ascii="Avenir Medium" w:hAnsi="Avenir Medium"/>
                <w:color w:val="000000" w:themeColor="text1"/>
              </w:rPr>
            </w:pPr>
          </w:p>
        </w:tc>
      </w:tr>
    </w:tbl>
    <w:p w14:paraId="2E68931A" w14:textId="77777777" w:rsidR="00450A3F" w:rsidRDefault="00450A3F" w:rsidP="00450A3F">
      <w:pPr>
        <w:ind w:left="-426"/>
        <w:jc w:val="both"/>
        <w:rPr>
          <w:rFonts w:ascii="Avenir Medium" w:hAnsi="Avenir Medium"/>
          <w:color w:val="29879B"/>
        </w:rPr>
      </w:pPr>
    </w:p>
    <w:p w14:paraId="7CE01C64" w14:textId="77777777" w:rsidR="00450A3F" w:rsidRPr="00F468D1" w:rsidRDefault="00450A3F" w:rsidP="00450A3F">
      <w:pPr>
        <w:jc w:val="both"/>
        <w:rPr>
          <w:rFonts w:ascii="Avenir Medium" w:hAnsi="Avenir Medium"/>
          <w:color w:val="29879B"/>
        </w:rPr>
      </w:pPr>
    </w:p>
    <w:p w14:paraId="1DD20E59" w14:textId="77777777" w:rsidR="00E22B5B" w:rsidRDefault="00E22B5B" w:rsidP="006C0E44">
      <w:pPr>
        <w:ind w:left="-426"/>
        <w:jc w:val="center"/>
        <w:rPr>
          <w:rFonts w:ascii="Avenir Heavy" w:hAnsi="Avenir Heavy"/>
          <w:b/>
          <w:color w:val="372776"/>
          <w:sz w:val="40"/>
          <w:szCs w:val="40"/>
        </w:rPr>
      </w:pPr>
    </w:p>
    <w:sectPr w:rsidR="00E22B5B" w:rsidSect="00981D5A">
      <w:headerReference w:type="default" r:id="rId23"/>
      <w:headerReference w:type="first" r:id="rId24"/>
      <w:pgSz w:w="16838" w:h="11906" w:orient="landscape"/>
      <w:pgMar w:top="1134" w:right="962" w:bottom="1134" w:left="1417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06905" w14:textId="77777777" w:rsidR="00B37756" w:rsidRDefault="00B37756" w:rsidP="00F20A40">
      <w:r>
        <w:separator/>
      </w:r>
    </w:p>
  </w:endnote>
  <w:endnote w:type="continuationSeparator" w:id="0">
    <w:p w14:paraId="398D2B19" w14:textId="77777777" w:rsidR="00B37756" w:rsidRDefault="00B37756" w:rsidP="00F20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CF6ED" w14:textId="77777777" w:rsidR="00B37756" w:rsidRDefault="00B37756" w:rsidP="00F20A40">
      <w:r>
        <w:separator/>
      </w:r>
    </w:p>
  </w:footnote>
  <w:footnote w:type="continuationSeparator" w:id="0">
    <w:p w14:paraId="2D653987" w14:textId="77777777" w:rsidR="00B37756" w:rsidRDefault="00B37756" w:rsidP="00F20A40">
      <w:r>
        <w:continuationSeparator/>
      </w:r>
    </w:p>
  </w:footnote>
  <w:footnote w:id="1">
    <w:p w14:paraId="486627FC" w14:textId="77777777" w:rsidR="0067089A" w:rsidRDefault="0067089A" w:rsidP="0067089A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0"/>
    </w:p>
    <w:bookmarkEnd w:id="1"/>
    <w:p w14:paraId="3FC9302F" w14:textId="1218D773" w:rsidR="0067089A" w:rsidRDefault="0067089A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6B3CE" w14:textId="380FF2C6" w:rsidR="004C45AF" w:rsidRDefault="004C45AF" w:rsidP="00F20A40">
    <w:pPr>
      <w:pStyle w:val="Intestazione"/>
      <w:ind w:left="-1417" w:firstLine="70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4027" w14:textId="3EB98599" w:rsidR="004C45AF" w:rsidRDefault="004C45AF" w:rsidP="00865323">
    <w:pPr>
      <w:pStyle w:val="Intestazione"/>
      <w:ind w:left="-567"/>
    </w:pPr>
    <w:r>
      <w:rPr>
        <w:noProof/>
        <w:lang w:eastAsia="it-IT"/>
      </w:rPr>
      <w:drawing>
        <wp:inline distT="0" distB="0" distL="0" distR="0" wp14:anchorId="6E47247B" wp14:editId="559085CA">
          <wp:extent cx="9525000" cy="881420"/>
          <wp:effectExtent l="0" t="0" r="0" b="762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a LM93 Edunext bann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30200" cy="881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94B97"/>
    <w:multiLevelType w:val="multilevel"/>
    <w:tmpl w:val="36B4F936"/>
    <w:lvl w:ilvl="0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3BFF6A3D"/>
    <w:multiLevelType w:val="multilevel"/>
    <w:tmpl w:val="F9ACF936"/>
    <w:lvl w:ilvl="0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3C0A143C"/>
    <w:multiLevelType w:val="multilevel"/>
    <w:tmpl w:val="DF7052E8"/>
    <w:lvl w:ilvl="0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" w:eastAsia="Times" w:hAnsi="Times" w:cs="Times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Times" w:eastAsia="Times" w:hAnsi="Times" w:cs="Time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" w:eastAsia="Times" w:hAnsi="Times" w:cs="Times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Times" w:eastAsia="Times" w:hAnsi="Times" w:cs="Time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" w:eastAsia="Times" w:hAnsi="Times" w:cs="Times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3C2F2787"/>
    <w:multiLevelType w:val="multilevel"/>
    <w:tmpl w:val="2CFE7788"/>
    <w:lvl w:ilvl="0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430C69E2"/>
    <w:multiLevelType w:val="multilevel"/>
    <w:tmpl w:val="D474F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445F2637"/>
    <w:multiLevelType w:val="multilevel"/>
    <w:tmpl w:val="7136A5FA"/>
    <w:lvl w:ilvl="0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45882BB0"/>
    <w:multiLevelType w:val="multilevel"/>
    <w:tmpl w:val="875E87E6"/>
    <w:lvl w:ilvl="0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49E35E20"/>
    <w:multiLevelType w:val="multilevel"/>
    <w:tmpl w:val="8658652A"/>
    <w:lvl w:ilvl="0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</w:abstractNum>
  <w:abstractNum w:abstractNumId="8" w15:restartNumberingAfterBreak="0">
    <w:nsid w:val="52FA77C1"/>
    <w:multiLevelType w:val="multilevel"/>
    <w:tmpl w:val="10FACD08"/>
    <w:lvl w:ilvl="0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venir" w:eastAsia="Avenir" w:hAnsi="Avenir" w:cs="Avenir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5D474605"/>
    <w:multiLevelType w:val="multilevel"/>
    <w:tmpl w:val="D3F2A3E2"/>
    <w:lvl w:ilvl="0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venir" w:eastAsia="Avenir" w:hAnsi="Avenir" w:cs="Avenir"/>
        <w:b w:val="0"/>
        <w:i w:val="0"/>
        <w:smallCaps w:val="0"/>
        <w:strike w:val="0"/>
        <w:sz w:val="30"/>
        <w:szCs w:val="30"/>
        <w:shd w:val="clear" w:color="auto" w:fill="auto"/>
        <w:vertAlign w:val="baseline"/>
      </w:rPr>
    </w:lvl>
  </w:abstractNum>
  <w:abstractNum w:abstractNumId="10" w15:restartNumberingAfterBreak="0">
    <w:nsid w:val="70F52D3A"/>
    <w:multiLevelType w:val="hybridMultilevel"/>
    <w:tmpl w:val="97F8A7B2"/>
    <w:lvl w:ilvl="0" w:tplc="093804A6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232689">
    <w:abstractNumId w:val="10"/>
  </w:num>
  <w:num w:numId="2" w16cid:durableId="1552378615">
    <w:abstractNumId w:val="4"/>
  </w:num>
  <w:num w:numId="3" w16cid:durableId="1004358743">
    <w:abstractNumId w:val="0"/>
  </w:num>
  <w:num w:numId="4" w16cid:durableId="1089545628">
    <w:abstractNumId w:val="9"/>
  </w:num>
  <w:num w:numId="5" w16cid:durableId="1382628615">
    <w:abstractNumId w:val="3"/>
  </w:num>
  <w:num w:numId="6" w16cid:durableId="190268642">
    <w:abstractNumId w:val="6"/>
  </w:num>
  <w:num w:numId="7" w16cid:durableId="2101563144">
    <w:abstractNumId w:val="5"/>
  </w:num>
  <w:num w:numId="8" w16cid:durableId="882598446">
    <w:abstractNumId w:val="7"/>
  </w:num>
  <w:num w:numId="9" w16cid:durableId="1248540115">
    <w:abstractNumId w:val="1"/>
  </w:num>
  <w:num w:numId="10" w16cid:durableId="1171263932">
    <w:abstractNumId w:val="8"/>
  </w:num>
  <w:num w:numId="11" w16cid:durableId="1899825007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A40"/>
    <w:rsid w:val="0001778C"/>
    <w:rsid w:val="00035B5C"/>
    <w:rsid w:val="0004184E"/>
    <w:rsid w:val="00045A52"/>
    <w:rsid w:val="000468B1"/>
    <w:rsid w:val="0005228F"/>
    <w:rsid w:val="00095274"/>
    <w:rsid w:val="000A58EA"/>
    <w:rsid w:val="000B0BD6"/>
    <w:rsid w:val="000F7112"/>
    <w:rsid w:val="00104997"/>
    <w:rsid w:val="00110BAB"/>
    <w:rsid w:val="00140DA2"/>
    <w:rsid w:val="001865E2"/>
    <w:rsid w:val="00192D3E"/>
    <w:rsid w:val="00196A31"/>
    <w:rsid w:val="001E1D98"/>
    <w:rsid w:val="001F6927"/>
    <w:rsid w:val="00217B22"/>
    <w:rsid w:val="002253BA"/>
    <w:rsid w:val="002460A7"/>
    <w:rsid w:val="00246661"/>
    <w:rsid w:val="00257319"/>
    <w:rsid w:val="002654E7"/>
    <w:rsid w:val="00286684"/>
    <w:rsid w:val="002A250A"/>
    <w:rsid w:val="002B702C"/>
    <w:rsid w:val="002D1705"/>
    <w:rsid w:val="002F61D6"/>
    <w:rsid w:val="00311E37"/>
    <w:rsid w:val="00352B02"/>
    <w:rsid w:val="003574B5"/>
    <w:rsid w:val="00362DB7"/>
    <w:rsid w:val="00383F2D"/>
    <w:rsid w:val="0038676D"/>
    <w:rsid w:val="00390A58"/>
    <w:rsid w:val="003936D3"/>
    <w:rsid w:val="003A3F2D"/>
    <w:rsid w:val="003B442D"/>
    <w:rsid w:val="003C0E53"/>
    <w:rsid w:val="003C35D2"/>
    <w:rsid w:val="003E47B3"/>
    <w:rsid w:val="003F7FD7"/>
    <w:rsid w:val="00411780"/>
    <w:rsid w:val="0041550B"/>
    <w:rsid w:val="004235E0"/>
    <w:rsid w:val="00445EBD"/>
    <w:rsid w:val="00450A3F"/>
    <w:rsid w:val="00457FF6"/>
    <w:rsid w:val="00482147"/>
    <w:rsid w:val="00483070"/>
    <w:rsid w:val="00487DB9"/>
    <w:rsid w:val="004A0306"/>
    <w:rsid w:val="004B78DA"/>
    <w:rsid w:val="004C45AF"/>
    <w:rsid w:val="004C6E11"/>
    <w:rsid w:val="004D1B75"/>
    <w:rsid w:val="004D6654"/>
    <w:rsid w:val="004E280C"/>
    <w:rsid w:val="0056435C"/>
    <w:rsid w:val="005717FC"/>
    <w:rsid w:val="0059791D"/>
    <w:rsid w:val="005A0F17"/>
    <w:rsid w:val="005A14EC"/>
    <w:rsid w:val="005A4C49"/>
    <w:rsid w:val="005B57EE"/>
    <w:rsid w:val="005D30AE"/>
    <w:rsid w:val="005E239A"/>
    <w:rsid w:val="00600680"/>
    <w:rsid w:val="00602AA7"/>
    <w:rsid w:val="00616D1F"/>
    <w:rsid w:val="00624A81"/>
    <w:rsid w:val="00641E2A"/>
    <w:rsid w:val="0065074F"/>
    <w:rsid w:val="00656280"/>
    <w:rsid w:val="00663872"/>
    <w:rsid w:val="0067089A"/>
    <w:rsid w:val="00674A85"/>
    <w:rsid w:val="00676C09"/>
    <w:rsid w:val="006A26D4"/>
    <w:rsid w:val="006C0E44"/>
    <w:rsid w:val="006D4EFA"/>
    <w:rsid w:val="006F1053"/>
    <w:rsid w:val="0073047E"/>
    <w:rsid w:val="00732E2A"/>
    <w:rsid w:val="00740EC4"/>
    <w:rsid w:val="00743DF7"/>
    <w:rsid w:val="00755FF1"/>
    <w:rsid w:val="007778E9"/>
    <w:rsid w:val="00782602"/>
    <w:rsid w:val="00785A90"/>
    <w:rsid w:val="007B2476"/>
    <w:rsid w:val="008215DF"/>
    <w:rsid w:val="00824225"/>
    <w:rsid w:val="00833E42"/>
    <w:rsid w:val="00842E58"/>
    <w:rsid w:val="00865323"/>
    <w:rsid w:val="0088396C"/>
    <w:rsid w:val="00887762"/>
    <w:rsid w:val="00893EB8"/>
    <w:rsid w:val="008C1871"/>
    <w:rsid w:val="008C35B3"/>
    <w:rsid w:val="00901FB4"/>
    <w:rsid w:val="00923FB0"/>
    <w:rsid w:val="00924B15"/>
    <w:rsid w:val="0092783B"/>
    <w:rsid w:val="00942825"/>
    <w:rsid w:val="00956401"/>
    <w:rsid w:val="00981D5A"/>
    <w:rsid w:val="009A570B"/>
    <w:rsid w:val="009D0D4E"/>
    <w:rsid w:val="009D5134"/>
    <w:rsid w:val="009D7CFB"/>
    <w:rsid w:val="00A042E6"/>
    <w:rsid w:val="00A24F65"/>
    <w:rsid w:val="00A72C5B"/>
    <w:rsid w:val="00A95B67"/>
    <w:rsid w:val="00AB059E"/>
    <w:rsid w:val="00AD1B13"/>
    <w:rsid w:val="00AD7F23"/>
    <w:rsid w:val="00AF1AC1"/>
    <w:rsid w:val="00B030CB"/>
    <w:rsid w:val="00B066F3"/>
    <w:rsid w:val="00B1545F"/>
    <w:rsid w:val="00B329DD"/>
    <w:rsid w:val="00B3603B"/>
    <w:rsid w:val="00B37756"/>
    <w:rsid w:val="00B377D6"/>
    <w:rsid w:val="00B55BA5"/>
    <w:rsid w:val="00B64B1B"/>
    <w:rsid w:val="00B65055"/>
    <w:rsid w:val="00B86C6D"/>
    <w:rsid w:val="00BB063B"/>
    <w:rsid w:val="00BC5AC8"/>
    <w:rsid w:val="00BE4CCA"/>
    <w:rsid w:val="00C01ADC"/>
    <w:rsid w:val="00C025E3"/>
    <w:rsid w:val="00C068F4"/>
    <w:rsid w:val="00C07020"/>
    <w:rsid w:val="00C23B9A"/>
    <w:rsid w:val="00C324B3"/>
    <w:rsid w:val="00C44401"/>
    <w:rsid w:val="00C57D3B"/>
    <w:rsid w:val="00C746FA"/>
    <w:rsid w:val="00C84B6C"/>
    <w:rsid w:val="00C95944"/>
    <w:rsid w:val="00CC0A84"/>
    <w:rsid w:val="00CD4127"/>
    <w:rsid w:val="00D0333F"/>
    <w:rsid w:val="00D43A38"/>
    <w:rsid w:val="00D64794"/>
    <w:rsid w:val="00D664E4"/>
    <w:rsid w:val="00D75EF3"/>
    <w:rsid w:val="00D972BD"/>
    <w:rsid w:val="00DA6F95"/>
    <w:rsid w:val="00DD3076"/>
    <w:rsid w:val="00DD3613"/>
    <w:rsid w:val="00E01A06"/>
    <w:rsid w:val="00E154F9"/>
    <w:rsid w:val="00E22B5B"/>
    <w:rsid w:val="00E356CD"/>
    <w:rsid w:val="00E80EDD"/>
    <w:rsid w:val="00E852D2"/>
    <w:rsid w:val="00EA1908"/>
    <w:rsid w:val="00EA7D8C"/>
    <w:rsid w:val="00EB45F0"/>
    <w:rsid w:val="00EB5C0E"/>
    <w:rsid w:val="00ED5501"/>
    <w:rsid w:val="00EE4868"/>
    <w:rsid w:val="00EF3D53"/>
    <w:rsid w:val="00F00EFC"/>
    <w:rsid w:val="00F11D6A"/>
    <w:rsid w:val="00F12B6A"/>
    <w:rsid w:val="00F15CD0"/>
    <w:rsid w:val="00F16698"/>
    <w:rsid w:val="00F20A40"/>
    <w:rsid w:val="00F24622"/>
    <w:rsid w:val="00F344EB"/>
    <w:rsid w:val="00F359C7"/>
    <w:rsid w:val="00F468D1"/>
    <w:rsid w:val="00F501C3"/>
    <w:rsid w:val="00F50F8E"/>
    <w:rsid w:val="00F650E0"/>
    <w:rsid w:val="00F75268"/>
    <w:rsid w:val="00F816CA"/>
    <w:rsid w:val="00F8431D"/>
    <w:rsid w:val="00F85874"/>
    <w:rsid w:val="00F9290B"/>
    <w:rsid w:val="00FA096E"/>
    <w:rsid w:val="00FB58D0"/>
    <w:rsid w:val="00FD773C"/>
    <w:rsid w:val="00FE060D"/>
    <w:rsid w:val="00FE10D3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D9C9E3"/>
  <w15:docId w15:val="{4E4A8882-1709-418A-B481-B033D8B7B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0A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0A40"/>
  </w:style>
  <w:style w:type="paragraph" w:styleId="Pidipagina">
    <w:name w:val="footer"/>
    <w:basedOn w:val="Normale"/>
    <w:link w:val="PidipaginaCarattere"/>
    <w:uiPriority w:val="99"/>
    <w:unhideWhenUsed/>
    <w:rsid w:val="00F20A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0A40"/>
  </w:style>
  <w:style w:type="table" w:styleId="Grigliatabella">
    <w:name w:val="Table Grid"/>
    <w:basedOn w:val="Tabellanormale"/>
    <w:uiPriority w:val="39"/>
    <w:rsid w:val="00F46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063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E2A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E2A"/>
    <w:rPr>
      <w:rFonts w:ascii="Lucida Grande" w:hAnsi="Lucida Grande"/>
      <w:sz w:val="18"/>
      <w:szCs w:val="18"/>
    </w:rPr>
  </w:style>
  <w:style w:type="paragraph" w:customStyle="1" w:styleId="CorpoA">
    <w:name w:val="Corpo A"/>
    <w:rsid w:val="00C746F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852D2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F650E0"/>
    <w:rPr>
      <w:rFonts w:ascii="Times New Roman" w:hAnsi="Times New Roman"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74A85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4A85"/>
    <w:rPr>
      <w:color w:val="605E5C"/>
      <w:shd w:val="clear" w:color="auto" w:fill="E1DFDD"/>
    </w:rPr>
  </w:style>
  <w:style w:type="character" w:customStyle="1" w:styleId="Hyperlink0">
    <w:name w:val="Hyperlink.0"/>
    <w:basedOn w:val="Collegamentoipertestuale"/>
    <w:rsid w:val="00BE4CCA"/>
    <w:rPr>
      <w:color w:val="0563C1"/>
      <w:u w:val="single" w:color="0563C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7089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7089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708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ristina.lisimberti@unicatt.it" TargetMode="External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librerie.unicatt.it/scheda-libro/autori-vari/apprendere-a-distanza-teorie-e-metodi-9788832853674-702122.html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alessandra.carenzio@unicatt.it" TargetMode="External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yperlink" Target="https://librerie.unicatt.it/scheda-libro/alessandra-carenzio-elisa-farinacci/dentro-black-mirror-media-societa-educazione-9788828405658-725210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mona.ferrari@unicatt.it" TargetMode="Externa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librerie.unicatt.it/scheda-libro/katia-montalbetti-cristina-lisimberti/ricerca-e-professionalita-educativa-risorse-e-strumenti-9788867602698-223446.html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librerie.unicatt.it/scheda-libro/pier-cesare-rivoltella/nuovi-alfabeti-educazione-e-culture-nella-societa-post-mediale-9788828401933-686505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hyperlink" Target="https://librerie.unicatt.it/scheda-libro/katia-montalbetti/la-valutazione-in-campo-educativo-e-formativo-logiche-scenari-esperienze-9788834356777-741084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C745841036B46B9850EEE53164D23" ma:contentTypeVersion="16" ma:contentTypeDescription="Creare un nuovo documento." ma:contentTypeScope="" ma:versionID="1fb85a6ebac1be6217e1d84c20177a33">
  <xsd:schema xmlns:xsd="http://www.w3.org/2001/XMLSchema" xmlns:xs="http://www.w3.org/2001/XMLSchema" xmlns:p="http://schemas.microsoft.com/office/2006/metadata/properties" xmlns:ns3="00ab3343-99f7-499d-863f-6d41b13c2119" xmlns:ns4="5a06cc50-168a-4dea-b59c-cabb279ed5d3" targetNamespace="http://schemas.microsoft.com/office/2006/metadata/properties" ma:root="true" ma:fieldsID="00acae3707128e1fd431bf54ec8b10bc" ns3:_="" ns4:_="">
    <xsd:import namespace="00ab3343-99f7-499d-863f-6d41b13c2119"/>
    <xsd:import namespace="5a06cc50-168a-4dea-b59c-cabb279ed5d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b3343-99f7-499d-863f-6d41b13c21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6cc50-168a-4dea-b59c-cabb279ed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06cc50-168a-4dea-b59c-cabb279ed5d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14CF43-88A2-41F2-A5B3-AF577F43C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ab3343-99f7-499d-863f-6d41b13c2119"/>
    <ds:schemaRef ds:uri="5a06cc50-168a-4dea-b59c-cabb279ed5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00A0A1-BB79-444B-845F-BC5A9CFE54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9A2203-76BA-44BC-960C-AD430BD3428B}">
  <ds:schemaRefs>
    <ds:schemaRef ds:uri="http://schemas.microsoft.com/office/2006/metadata/properties"/>
    <ds:schemaRef ds:uri="http://schemas.microsoft.com/office/infopath/2007/PartnerControls"/>
    <ds:schemaRef ds:uri="5a06cc50-168a-4dea-b59c-cabb279ed5d3"/>
  </ds:schemaRefs>
</ds:datastoreItem>
</file>

<file path=customXml/itemProps4.xml><?xml version="1.0" encoding="utf-8"?>
<ds:datastoreItem xmlns:ds="http://schemas.openxmlformats.org/officeDocument/2006/customXml" ds:itemID="{DD8FC7E3-43BB-46C5-B8E5-0CA23F23AA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Locci Amedeo</cp:lastModifiedBy>
  <cp:revision>5</cp:revision>
  <dcterms:created xsi:type="dcterms:W3CDTF">2025-09-11T10:58:00Z</dcterms:created>
  <dcterms:modified xsi:type="dcterms:W3CDTF">2026-07-20T08:22:00Z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0x010100BF2C745841036B46B9850EEE53164D23</vt:lpwstr>
  </property>
  <property fmtid="{D5CDD505-2E9C-101B-9397-08002B2CF9AE}" pid="3" name="MediaServiceImageTags">
    <vt:lpwstr/>
  </property>
</Properties>
</file>