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C495" w14:textId="532852D1" w:rsidR="0008016B" w:rsidRPr="00FD10FC" w:rsidRDefault="0008016B" w:rsidP="0008016B">
      <w:pPr>
        <w:pStyle w:val="Titolo1"/>
      </w:pPr>
      <w:bookmarkStart w:id="0" w:name="_Toc361901030"/>
      <w:r w:rsidRPr="00FD10FC">
        <w:t xml:space="preserve">Economia </w:t>
      </w:r>
      <w:r w:rsidR="00281214">
        <w:t>dell’Informazione e della Comunicazione</w:t>
      </w:r>
      <w:r w:rsidRPr="00FD10FC">
        <w:t xml:space="preserve"> (</w:t>
      </w:r>
      <w:r w:rsidR="007968B0">
        <w:t>6 cfu</w:t>
      </w:r>
      <w:r w:rsidRPr="00FD10FC">
        <w:t>)</w:t>
      </w:r>
      <w:bookmarkEnd w:id="0"/>
    </w:p>
    <w:p w14:paraId="50C27227" w14:textId="77777777" w:rsidR="0008016B" w:rsidRPr="004D1B19" w:rsidRDefault="0008016B" w:rsidP="004D1B19">
      <w:pPr>
        <w:pStyle w:val="Titolo2"/>
      </w:pPr>
      <w:bookmarkStart w:id="1" w:name="_Toc361901031"/>
      <w:r w:rsidRPr="004D1B19">
        <w:t>Prof. Guido Merzoni</w:t>
      </w:r>
      <w:bookmarkEnd w:id="1"/>
    </w:p>
    <w:p w14:paraId="4EA21CE8" w14:textId="77777777" w:rsidR="002D5E17" w:rsidRDefault="0008016B" w:rsidP="0008016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C3BC8D9" w14:textId="77777777" w:rsidR="0008016B" w:rsidRPr="00FD10FC" w:rsidRDefault="0008016B" w:rsidP="007840E0">
      <w:pPr>
        <w:spacing w:line="240" w:lineRule="exact"/>
      </w:pPr>
      <w:r w:rsidRPr="00FD10FC">
        <w:t>L’insegnamento si propone di presentare alcuni fenomeni caratterizzanti i sistemi economici contemporanei</w:t>
      </w:r>
      <w:r>
        <w:t>,</w:t>
      </w:r>
      <w:r w:rsidRPr="00FD10FC">
        <w:t xml:space="preserve"> con particolare riguardo alla distribuzione dell'informazione, alla sua comunicazione e alla diffusione pervasiva dei beni digitali</w:t>
      </w:r>
      <w:r>
        <w:t>,</w:t>
      </w:r>
      <w:r w:rsidRPr="00FD10FC">
        <w:t xml:space="preserve"> e di familiarizzare gli studenti con i relativi strumenti di indagine.</w:t>
      </w:r>
    </w:p>
    <w:p w14:paraId="5C94FB21" w14:textId="77777777" w:rsidR="0008016B" w:rsidRPr="00FD10FC" w:rsidRDefault="0008016B" w:rsidP="007840E0">
      <w:pPr>
        <w:spacing w:before="120" w:line="240" w:lineRule="exact"/>
        <w:rPr>
          <w:i/>
        </w:rPr>
      </w:pPr>
      <w:r w:rsidRPr="00FD10FC">
        <w:rPr>
          <w:i/>
        </w:rPr>
        <w:t>Conoscenza e comprensione</w:t>
      </w:r>
    </w:p>
    <w:p w14:paraId="5A731A12" w14:textId="4CFE0533" w:rsidR="0008016B" w:rsidRPr="00FD10FC" w:rsidRDefault="0008016B" w:rsidP="007840E0">
      <w:pPr>
        <w:spacing w:line="240" w:lineRule="exact"/>
      </w:pPr>
      <w:r w:rsidRPr="00FD10FC">
        <w:t xml:space="preserve">Al termine dell’insegnamento lo studente conoscerà le nozioni e gli strumenti di base dell’economia dell’informazione, con particolare riguardo alle conseguenze in termini di inefficienza della distribuzione asimmetrica dell’informazione, ai possibili rimedi e alle modalità di organizzazione del mercato tipiche dei principali meccanismi di asta. Conoscerà inoltre i principali fenomeni che caratterizzano i mercati dei beni digitali sul lato dell’offerta, con particolare riguardo alle strategie commerciali, e sul lato della domanda, con un’enfasi sulle conseguenze della presenza di esternalità di rete. </w:t>
      </w:r>
    </w:p>
    <w:p w14:paraId="0CBC12C3" w14:textId="77777777" w:rsidR="0008016B" w:rsidRPr="00FD10FC" w:rsidRDefault="0008016B" w:rsidP="007840E0">
      <w:pPr>
        <w:spacing w:before="120" w:line="240" w:lineRule="exact"/>
        <w:rPr>
          <w:i/>
        </w:rPr>
      </w:pPr>
      <w:r w:rsidRPr="00FD10FC">
        <w:rPr>
          <w:i/>
        </w:rPr>
        <w:t>Capacità di applicare conoscenza e comprensione</w:t>
      </w:r>
    </w:p>
    <w:p w14:paraId="26287DBC" w14:textId="77777777" w:rsidR="0008016B" w:rsidRPr="00FD10FC" w:rsidRDefault="0008016B" w:rsidP="007840E0">
      <w:pPr>
        <w:spacing w:line="240" w:lineRule="exact"/>
      </w:pPr>
      <w:r w:rsidRPr="00FD10FC">
        <w:t>Al termine dell’insegnamento lo studente sarà in grado di:</w:t>
      </w:r>
    </w:p>
    <w:p w14:paraId="7A6C664B" w14:textId="77777777" w:rsidR="0008016B" w:rsidRPr="006B02FF" w:rsidRDefault="0008016B" w:rsidP="007840E0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>
        <w:t>discutere le proprietà di efficienza dell’equilibrio generale perfettamente concorrenziale nella rappresentazione grafica del diagramma a scatola di Edgeworth;</w:t>
      </w:r>
    </w:p>
    <w:p w14:paraId="2B9D32A6" w14:textId="77777777" w:rsidR="0008016B" w:rsidRPr="00FD10FC" w:rsidRDefault="0008016B" w:rsidP="007840E0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 w:rsidRPr="00FD10FC">
        <w:t>caratterizzare analiticamente l’equilibrio in semplici mercati con asimmetria</w:t>
      </w:r>
      <w:r w:rsidR="007840E0">
        <w:t xml:space="preserve"> informativa ex-ante ed ex-post;</w:t>
      </w:r>
    </w:p>
    <w:p w14:paraId="48ACD741" w14:textId="77777777" w:rsidR="0008016B" w:rsidRPr="00FD10FC" w:rsidRDefault="0008016B" w:rsidP="007840E0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 w:rsidRPr="00FD10FC">
        <w:t>delineare analiticamente i possibili rimedi in grado di ristabilire l’efficienza in tali contesti;</w:t>
      </w:r>
    </w:p>
    <w:p w14:paraId="29CAC75C" w14:textId="622C2979" w:rsidR="0008016B" w:rsidRPr="00FD10FC" w:rsidRDefault="0008016B" w:rsidP="007840E0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 w:rsidRPr="00FD10FC">
        <w:t>disegnare semplici strategie di discriminazione di prezzo</w:t>
      </w:r>
      <w:r w:rsidR="00FB39B9" w:rsidRPr="00FD10FC">
        <w:t xml:space="preserve">, </w:t>
      </w:r>
      <w:r w:rsidR="00FB39B9" w:rsidRPr="007840E0">
        <w:rPr>
          <w:i/>
        </w:rPr>
        <w:t>bundling</w:t>
      </w:r>
      <w:r w:rsidR="00FB39B9" w:rsidRPr="00FD10FC">
        <w:t xml:space="preserve"> e </w:t>
      </w:r>
      <w:proofErr w:type="spellStart"/>
      <w:r w:rsidR="00FB39B9" w:rsidRPr="007840E0">
        <w:rPr>
          <w:i/>
        </w:rPr>
        <w:t>versioning</w:t>
      </w:r>
      <w:proofErr w:type="spellEnd"/>
      <w:r w:rsidRPr="00FD10FC">
        <w:t>;</w:t>
      </w:r>
    </w:p>
    <w:p w14:paraId="6303B572" w14:textId="7F71FD96" w:rsidR="0008016B" w:rsidRPr="0008016B" w:rsidRDefault="0008016B" w:rsidP="007840E0">
      <w:pPr>
        <w:pStyle w:val="Paragrafoelenco"/>
        <w:numPr>
          <w:ilvl w:val="0"/>
          <w:numId w:val="2"/>
        </w:numPr>
        <w:spacing w:line="240" w:lineRule="exact"/>
        <w:ind w:left="284" w:hanging="284"/>
      </w:pPr>
      <w:r w:rsidRPr="00FD10FC">
        <w:t>caratterizzare graficamente gli assetti di mercati caratterizzati dalla presenza di esternalità di rete.</w:t>
      </w:r>
    </w:p>
    <w:p w14:paraId="2054C071" w14:textId="77777777" w:rsidR="0008016B" w:rsidRPr="0008016B" w:rsidRDefault="0008016B" w:rsidP="0008016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D1598AA" w14:textId="77777777" w:rsidR="00630705" w:rsidRPr="004D1B19" w:rsidRDefault="00630705" w:rsidP="00630705">
      <w:pPr>
        <w:spacing w:line="240" w:lineRule="exact"/>
        <w:rPr>
          <w:smallCaps/>
          <w:sz w:val="18"/>
          <w:szCs w:val="18"/>
        </w:rPr>
      </w:pPr>
      <w:r w:rsidRPr="004D1B19">
        <w:rPr>
          <w:smallCaps/>
          <w:sz w:val="18"/>
          <w:szCs w:val="18"/>
        </w:rPr>
        <w:t>Introduzione</w:t>
      </w:r>
    </w:p>
    <w:p w14:paraId="6DC8DE14" w14:textId="77777777" w:rsidR="00630705" w:rsidRPr="00034C9C" w:rsidRDefault="00630705" w:rsidP="00630705">
      <w:r w:rsidRPr="00FD10FC">
        <w:t>–</w:t>
      </w:r>
      <w:r w:rsidRPr="00FD10FC">
        <w:tab/>
      </w:r>
      <w:r w:rsidRPr="00034C9C">
        <w:t>Scenari globali: economia, politica e società nel cambiamento d’epoca</w:t>
      </w:r>
    </w:p>
    <w:p w14:paraId="4DFC8D6A" w14:textId="77777777" w:rsidR="00630705" w:rsidRPr="00FD10FC" w:rsidRDefault="00630705" w:rsidP="00630705">
      <w:r w:rsidRPr="00FD10FC">
        <w:t>–</w:t>
      </w:r>
      <w:r w:rsidRPr="00FD10FC">
        <w:tab/>
        <w:t>Proprietà di efficienza dei mercati: condizioni e limiti.</w:t>
      </w:r>
    </w:p>
    <w:p w14:paraId="4EEFBADD" w14:textId="4C9B6857" w:rsidR="0008016B" w:rsidRPr="00FD10FC" w:rsidRDefault="00630705" w:rsidP="00034C9C">
      <w:pPr>
        <w:spacing w:before="120"/>
      </w:pPr>
      <w:r>
        <w:rPr>
          <w:smallCaps/>
          <w:sz w:val="18"/>
          <w:szCs w:val="18"/>
        </w:rPr>
        <w:t>Prima</w:t>
      </w:r>
      <w:r w:rsidR="004D1B19" w:rsidRPr="004D1B19">
        <w:rPr>
          <w:smallCaps/>
          <w:sz w:val="18"/>
          <w:szCs w:val="18"/>
        </w:rPr>
        <w:t xml:space="preserve"> parte</w:t>
      </w:r>
      <w:r w:rsidR="00034C9C">
        <w:rPr>
          <w:smallCaps/>
          <w:sz w:val="18"/>
          <w:szCs w:val="18"/>
        </w:rPr>
        <w:t xml:space="preserve"> - </w:t>
      </w:r>
      <w:r w:rsidR="0008016B" w:rsidRPr="00FD10FC">
        <w:rPr>
          <w:i/>
        </w:rPr>
        <w:t>Informazione asimmetrica</w:t>
      </w:r>
    </w:p>
    <w:p w14:paraId="5DE0803B" w14:textId="77777777" w:rsidR="0008016B" w:rsidRPr="00FD10FC" w:rsidRDefault="0008016B" w:rsidP="0008016B">
      <w:r w:rsidRPr="00FD10FC">
        <w:t>–</w:t>
      </w:r>
      <w:r w:rsidRPr="00FD10FC">
        <w:tab/>
        <w:t>Selezione avversa e meccanismi di segnalazione.</w:t>
      </w:r>
    </w:p>
    <w:p w14:paraId="08A4505F" w14:textId="77777777" w:rsidR="0008016B" w:rsidRPr="00FD10FC" w:rsidRDefault="0008016B" w:rsidP="0008016B">
      <w:r w:rsidRPr="00FD10FC">
        <w:lastRenderedPageBreak/>
        <w:t>–</w:t>
      </w:r>
      <w:r w:rsidRPr="00FD10FC">
        <w:tab/>
        <w:t>Azzardo morale e contratti, reputazione e giochi di fiducia.</w:t>
      </w:r>
    </w:p>
    <w:p w14:paraId="22AC066F" w14:textId="77777777" w:rsidR="0008016B" w:rsidRPr="00FD10FC" w:rsidRDefault="0008016B" w:rsidP="0008016B">
      <w:r w:rsidRPr="00FD10FC">
        <w:t>–</w:t>
      </w:r>
      <w:r w:rsidRPr="00FD10FC">
        <w:tab/>
        <w:t>Meccanismi d’asta.</w:t>
      </w:r>
    </w:p>
    <w:p w14:paraId="0548E61F" w14:textId="46BD7DAC" w:rsidR="0008016B" w:rsidRPr="00FD10FC" w:rsidRDefault="00630705" w:rsidP="00034C9C">
      <w:pPr>
        <w:spacing w:before="120"/>
      </w:pPr>
      <w:r>
        <w:rPr>
          <w:smallCaps/>
          <w:sz w:val="18"/>
          <w:szCs w:val="18"/>
        </w:rPr>
        <w:t>Seconda</w:t>
      </w:r>
      <w:r w:rsidR="004D1B19" w:rsidRPr="004D1B19">
        <w:rPr>
          <w:smallCaps/>
          <w:sz w:val="18"/>
          <w:szCs w:val="18"/>
        </w:rPr>
        <w:t xml:space="preserve"> parte</w:t>
      </w:r>
      <w:r w:rsidR="00034C9C">
        <w:rPr>
          <w:smallCaps/>
          <w:sz w:val="18"/>
          <w:szCs w:val="18"/>
        </w:rPr>
        <w:t xml:space="preserve"> - </w:t>
      </w:r>
      <w:r w:rsidR="00034C9C">
        <w:rPr>
          <w:i/>
        </w:rPr>
        <w:t>L</w:t>
      </w:r>
      <w:r w:rsidR="00034C9C" w:rsidRPr="00FD10FC">
        <w:rPr>
          <w:i/>
        </w:rPr>
        <w:t>’economia digitale</w:t>
      </w:r>
      <w:r w:rsidR="00034C9C">
        <w:rPr>
          <w:i/>
        </w:rPr>
        <w:t xml:space="preserve"> </w:t>
      </w:r>
    </w:p>
    <w:p w14:paraId="12E770FC" w14:textId="78390772" w:rsidR="0008016B" w:rsidRPr="00FD10FC" w:rsidRDefault="0008016B" w:rsidP="00034C9C">
      <w:r w:rsidRPr="00FD10FC">
        <w:t>–</w:t>
      </w:r>
      <w:r w:rsidRPr="00FD10FC">
        <w:tab/>
      </w:r>
      <w:r w:rsidR="00034C9C">
        <w:t>S</w:t>
      </w:r>
      <w:r w:rsidRPr="00FD10FC">
        <w:t>trategie commerciali</w:t>
      </w:r>
      <w:r w:rsidR="00630705">
        <w:t xml:space="preserve"> e </w:t>
      </w:r>
      <w:r w:rsidR="00853B6A">
        <w:t>discriminazione di prezzo</w:t>
      </w:r>
      <w:r w:rsidRPr="00FD10FC">
        <w:rPr>
          <w:i/>
        </w:rPr>
        <w:t>;</w:t>
      </w:r>
    </w:p>
    <w:p w14:paraId="00CF578D" w14:textId="6E8B03ED" w:rsidR="0008016B" w:rsidRPr="00FD10FC" w:rsidRDefault="0008016B" w:rsidP="00034C9C">
      <w:pPr>
        <w:rPr>
          <w:i/>
        </w:rPr>
      </w:pPr>
      <w:r w:rsidRPr="00FD10FC">
        <w:t>–</w:t>
      </w:r>
      <w:r w:rsidRPr="00FD10FC">
        <w:tab/>
      </w:r>
      <w:r w:rsidR="00034C9C">
        <w:t>R</w:t>
      </w:r>
      <w:r w:rsidRPr="00FD10FC">
        <w:t>eti ed esternalità di rete</w:t>
      </w:r>
    </w:p>
    <w:p w14:paraId="03AD51C6" w14:textId="77777777" w:rsidR="003F6AFA" w:rsidRPr="00853B6A" w:rsidRDefault="003F6AFA" w:rsidP="007840E0">
      <w:pPr>
        <w:ind w:left="284"/>
        <w:rPr>
          <w:i/>
        </w:rPr>
      </w:pPr>
    </w:p>
    <w:p w14:paraId="1A8E3C1A" w14:textId="4CCEE33B" w:rsidR="0008016B" w:rsidRPr="0029761E" w:rsidRDefault="0008016B" w:rsidP="0029761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417132">
        <w:rPr>
          <w:rStyle w:val="Rimandonotaapidipagina"/>
          <w:b/>
          <w:i/>
          <w:sz w:val="18"/>
        </w:rPr>
        <w:footnoteReference w:id="1"/>
      </w:r>
    </w:p>
    <w:p w14:paraId="5DA462A2" w14:textId="77777777" w:rsidR="0008016B" w:rsidRPr="00FD10FC" w:rsidRDefault="0008016B" w:rsidP="004D1B19">
      <w:pPr>
        <w:pStyle w:val="Testo1"/>
      </w:pPr>
      <w:r w:rsidRPr="00FD10FC">
        <w:t xml:space="preserve">Per chi </w:t>
      </w:r>
      <w:r w:rsidRPr="00FD10FC">
        <w:rPr>
          <w:i/>
        </w:rPr>
        <w:t>frequenta</w:t>
      </w:r>
      <w:r w:rsidRPr="00FD10FC">
        <w:t xml:space="preserve"> regolarmente le lezioni:</w:t>
      </w:r>
    </w:p>
    <w:p w14:paraId="0668D75B" w14:textId="77777777" w:rsidR="0008016B" w:rsidRPr="00FD10FC" w:rsidRDefault="0008016B" w:rsidP="004D1B19">
      <w:pPr>
        <w:pStyle w:val="Testo1"/>
        <w:spacing w:before="0"/>
      </w:pPr>
      <w:r w:rsidRPr="00FD10FC">
        <w:t>1.</w:t>
      </w:r>
      <w:r w:rsidRPr="00FD10FC">
        <w:tab/>
        <w:t>Appunti delle lezioni.</w:t>
      </w:r>
    </w:p>
    <w:p w14:paraId="7F1A6877" w14:textId="77777777" w:rsidR="0008016B" w:rsidRPr="00FD10FC" w:rsidRDefault="0008016B" w:rsidP="004D1B19">
      <w:pPr>
        <w:pStyle w:val="Testo1"/>
        <w:spacing w:before="0"/>
      </w:pPr>
      <w:r w:rsidRPr="00FD10FC">
        <w:t>2.</w:t>
      </w:r>
      <w:r w:rsidRPr="00FD10FC">
        <w:tab/>
        <w:t>Letture di riferimento generale:</w:t>
      </w:r>
    </w:p>
    <w:p w14:paraId="33269617" w14:textId="321C992C" w:rsidR="0008016B" w:rsidRPr="004D1B19" w:rsidRDefault="0008016B" w:rsidP="004D1B19">
      <w:pPr>
        <w:pStyle w:val="Testo1"/>
        <w:spacing w:before="0" w:line="240" w:lineRule="atLeast"/>
        <w:rPr>
          <w:spacing w:val="-5"/>
        </w:rPr>
      </w:pPr>
      <w:r w:rsidRPr="004D1B19">
        <w:rPr>
          <w:smallCaps/>
          <w:spacing w:val="-5"/>
          <w:sz w:val="16"/>
        </w:rPr>
        <w:t>H. Varian,</w:t>
      </w:r>
      <w:r w:rsidRPr="004D1B19">
        <w:rPr>
          <w:i/>
          <w:spacing w:val="-5"/>
        </w:rPr>
        <w:t xml:space="preserve"> Microeconomia,</w:t>
      </w:r>
      <w:r w:rsidRPr="004D1B19">
        <w:rPr>
          <w:spacing w:val="-5"/>
        </w:rPr>
        <w:t xml:space="preserve"> Cafoscarina, Venezia, settima edizione italiana, 2011 (capitoli 17, 24, 25, 28, 31, 35, 36, 37).</w:t>
      </w:r>
      <w:r w:rsidR="00417132">
        <w:rPr>
          <w:spacing w:val="-5"/>
        </w:rPr>
        <w:t xml:space="preserve"> </w:t>
      </w:r>
      <w:bookmarkStart w:id="2" w:name="_Hlk170391661"/>
      <w:r w:rsidR="00417132">
        <w:rPr>
          <w:rFonts w:ascii="Times New Roman" w:hAnsi="Times New Roman"/>
          <w:i/>
          <w:color w:val="0070C0"/>
          <w:szCs w:val="18"/>
        </w:rPr>
        <w:fldChar w:fldCharType="begin"/>
      </w:r>
      <w:r w:rsidR="00417132">
        <w:rPr>
          <w:rFonts w:ascii="Times New Roman" w:hAnsi="Times New Roman"/>
          <w:i/>
          <w:color w:val="0070C0"/>
          <w:szCs w:val="18"/>
        </w:rPr>
        <w:instrText>HYPERLINK "https://librerie.unicatt.it/scheda-libro/varian-hal-r/microeconomia-9788875433079-179129.html"</w:instrText>
      </w:r>
      <w:r w:rsidR="00417132">
        <w:rPr>
          <w:rFonts w:ascii="Times New Roman" w:hAnsi="Times New Roman"/>
          <w:i/>
          <w:color w:val="0070C0"/>
          <w:szCs w:val="18"/>
        </w:rPr>
      </w:r>
      <w:r w:rsidR="00417132">
        <w:rPr>
          <w:rFonts w:ascii="Times New Roman" w:hAnsi="Times New Roman"/>
          <w:i/>
          <w:color w:val="0070C0"/>
          <w:szCs w:val="18"/>
        </w:rPr>
        <w:fldChar w:fldCharType="separate"/>
      </w:r>
      <w:r w:rsidR="00417132" w:rsidRPr="00417132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2"/>
      <w:r w:rsidR="00417132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A58C9BE" w14:textId="77777777" w:rsidR="0008016B" w:rsidRDefault="0008016B" w:rsidP="004D1B19">
      <w:pPr>
        <w:pStyle w:val="Testo1"/>
        <w:spacing w:before="0" w:line="240" w:lineRule="atLeast"/>
        <w:rPr>
          <w:spacing w:val="-5"/>
        </w:rPr>
      </w:pPr>
      <w:r w:rsidRPr="004D1B19">
        <w:rPr>
          <w:smallCaps/>
          <w:spacing w:val="-5"/>
          <w:sz w:val="16"/>
        </w:rPr>
        <w:t>M.A. Maggioni-G. Merzoni,</w:t>
      </w:r>
      <w:r w:rsidRPr="004D1B19">
        <w:rPr>
          <w:i/>
          <w:spacing w:val="-5"/>
        </w:rPr>
        <w:t xml:space="preserve"> L’economia politica e la nuova economia. Fondamenti analitici e paradigmi interpretativi,</w:t>
      </w:r>
      <w:r w:rsidRPr="004D1B19">
        <w:rPr>
          <w:spacing w:val="-5"/>
        </w:rPr>
        <w:t xml:space="preserve"> in </w:t>
      </w:r>
      <w:r w:rsidRPr="004D1B19">
        <w:rPr>
          <w:smallCaps/>
          <w:spacing w:val="-5"/>
          <w:sz w:val="16"/>
        </w:rPr>
        <w:t xml:space="preserve">L. Prosperetti </w:t>
      </w:r>
      <w:r w:rsidRPr="007840E0">
        <w:rPr>
          <w:spacing w:val="-5"/>
        </w:rPr>
        <w:t xml:space="preserve">(a cura di), </w:t>
      </w:r>
      <w:r w:rsidRPr="004D1B19">
        <w:rPr>
          <w:i/>
          <w:spacing w:val="-5"/>
        </w:rPr>
        <w:t>La New Economy aspetti analitici ed implicazioni di policy,</w:t>
      </w:r>
      <w:r w:rsidRPr="004D1B19">
        <w:rPr>
          <w:spacing w:val="-5"/>
        </w:rPr>
        <w:t xml:space="preserve"> Il Mulino, Bologna, 2002.</w:t>
      </w:r>
    </w:p>
    <w:p w14:paraId="6B40729C" w14:textId="77777777" w:rsidR="000136C5" w:rsidRPr="004D1B19" w:rsidRDefault="000136C5" w:rsidP="004D1B19">
      <w:pPr>
        <w:pStyle w:val="Testo1"/>
        <w:spacing w:before="0" w:line="240" w:lineRule="atLeast"/>
        <w:rPr>
          <w:spacing w:val="-5"/>
        </w:rPr>
      </w:pPr>
      <w:r w:rsidRPr="004D1B19">
        <w:rPr>
          <w:smallCaps/>
          <w:spacing w:val="-5"/>
          <w:sz w:val="16"/>
        </w:rPr>
        <w:t>G. Merzoni</w:t>
      </w:r>
      <w:r w:rsidRPr="000136C5">
        <w:rPr>
          <w:i/>
        </w:rPr>
        <w:t xml:space="preserve"> </w:t>
      </w:r>
      <w:r w:rsidRPr="0029761E">
        <w:rPr>
          <w:i/>
        </w:rPr>
        <w:t>Nel cambio d’epoca crescono incertezza e diseguaglianze</w:t>
      </w:r>
      <w:r w:rsidRPr="00A3360F">
        <w:t xml:space="preserve">, </w:t>
      </w:r>
      <w:r w:rsidRPr="00A3360F">
        <w:rPr>
          <w:i/>
        </w:rPr>
        <w:t>Vita e Pensiero,</w:t>
      </w:r>
      <w:r w:rsidRPr="00A3360F">
        <w:t xml:space="preserve"> 201</w:t>
      </w:r>
      <w:r>
        <w:t>8</w:t>
      </w:r>
      <w:r w:rsidRPr="00A3360F">
        <w:t>-</w:t>
      </w:r>
      <w:r>
        <w:t>2</w:t>
      </w:r>
      <w:r w:rsidRPr="00A3360F">
        <w:t xml:space="preserve">, pp </w:t>
      </w:r>
      <w:r>
        <w:t>33-41</w:t>
      </w:r>
      <w:r w:rsidRPr="00A3360F">
        <w:t>, 201</w:t>
      </w:r>
      <w:r>
        <w:t>8.</w:t>
      </w:r>
    </w:p>
    <w:p w14:paraId="2279BCCA" w14:textId="7E7FEE03" w:rsidR="0008016B" w:rsidRPr="00FD10FC" w:rsidRDefault="0008016B" w:rsidP="004D1B19">
      <w:pPr>
        <w:pStyle w:val="Testo1"/>
      </w:pPr>
      <w:r w:rsidRPr="00FD10FC">
        <w:t xml:space="preserve">Ulteriori indicazioni bibliografiche e precisazioni su quelle riportate potranno essere fornite durante il corso e pubblicate sulla piattaforma </w:t>
      </w:r>
      <w:r w:rsidRPr="00FD10FC">
        <w:rPr>
          <w:i/>
        </w:rPr>
        <w:t>Blackboard</w:t>
      </w:r>
      <w:r w:rsidRPr="00FD10FC">
        <w:t>.</w:t>
      </w:r>
    </w:p>
    <w:p w14:paraId="334C5D70" w14:textId="77777777" w:rsidR="0008016B" w:rsidRPr="00FD10FC" w:rsidRDefault="0008016B" w:rsidP="004D1B19">
      <w:pPr>
        <w:pStyle w:val="Testo1"/>
      </w:pPr>
      <w:r w:rsidRPr="00FD10FC">
        <w:t xml:space="preserve">Per chi </w:t>
      </w:r>
      <w:r w:rsidRPr="00FD10FC">
        <w:rPr>
          <w:i/>
        </w:rPr>
        <w:t>non frequenta</w:t>
      </w:r>
      <w:r w:rsidRPr="00FD10FC">
        <w:t xml:space="preserve"> le lezioni:</w:t>
      </w:r>
    </w:p>
    <w:p w14:paraId="13A9532E" w14:textId="22C5616D" w:rsidR="0008016B" w:rsidRPr="004D1B19" w:rsidRDefault="0008016B" w:rsidP="004D1B19">
      <w:pPr>
        <w:pStyle w:val="Testo1"/>
        <w:spacing w:before="0" w:line="240" w:lineRule="atLeast"/>
        <w:rPr>
          <w:spacing w:val="-5"/>
        </w:rPr>
      </w:pPr>
      <w:r w:rsidRPr="004D1B19">
        <w:rPr>
          <w:smallCaps/>
          <w:spacing w:val="-5"/>
          <w:sz w:val="16"/>
        </w:rPr>
        <w:t>H. Varian,</w:t>
      </w:r>
      <w:r w:rsidRPr="004D1B19">
        <w:rPr>
          <w:i/>
          <w:spacing w:val="-5"/>
        </w:rPr>
        <w:t xml:space="preserve"> Microeconomia,</w:t>
      </w:r>
      <w:r w:rsidRPr="004D1B19">
        <w:rPr>
          <w:spacing w:val="-5"/>
        </w:rPr>
        <w:t xml:space="preserve"> Cafoscarina, Venezia, settima edizione italiana, 2011 (capitoli 17, 24, 25, 28, 31, 35, 36, 37).</w:t>
      </w:r>
      <w:r w:rsidR="00417132">
        <w:rPr>
          <w:spacing w:val="-5"/>
        </w:rPr>
        <w:t xml:space="preserve"> </w:t>
      </w:r>
      <w:hyperlink r:id="rId8" w:history="1">
        <w:r w:rsidR="00417132" w:rsidRPr="00417132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1E8B5BE" w14:textId="77777777" w:rsidR="0008016B" w:rsidRDefault="0008016B" w:rsidP="004D1B19">
      <w:pPr>
        <w:pStyle w:val="Testo1"/>
        <w:spacing w:before="0" w:line="240" w:lineRule="atLeast"/>
        <w:rPr>
          <w:spacing w:val="-5"/>
        </w:rPr>
      </w:pPr>
      <w:r w:rsidRPr="004D1B19">
        <w:rPr>
          <w:smallCaps/>
          <w:spacing w:val="-5"/>
          <w:sz w:val="16"/>
        </w:rPr>
        <w:t>M.A. Maggioni-G. Merzoni,</w:t>
      </w:r>
      <w:r w:rsidRPr="004D1B19">
        <w:rPr>
          <w:i/>
          <w:spacing w:val="-5"/>
        </w:rPr>
        <w:t xml:space="preserve"> L’economia politica e la nuova economia. Fondamenti analitici e paradigmi interpretativi,</w:t>
      </w:r>
      <w:r w:rsidRPr="004D1B19">
        <w:rPr>
          <w:spacing w:val="-5"/>
        </w:rPr>
        <w:t xml:space="preserve"> in </w:t>
      </w:r>
      <w:r w:rsidRPr="004D1B19">
        <w:rPr>
          <w:smallCaps/>
          <w:spacing w:val="-5"/>
          <w:sz w:val="16"/>
        </w:rPr>
        <w:t xml:space="preserve">L. Prosperetti </w:t>
      </w:r>
      <w:r w:rsidRPr="007840E0">
        <w:rPr>
          <w:spacing w:val="-5"/>
        </w:rPr>
        <w:t>(a cura di),</w:t>
      </w:r>
      <w:r w:rsidRPr="004D1B19">
        <w:rPr>
          <w:i/>
          <w:spacing w:val="-5"/>
        </w:rPr>
        <w:t xml:space="preserve"> La New Economy aspetti analitici ed implicazioni di policy,</w:t>
      </w:r>
      <w:r w:rsidRPr="004D1B19">
        <w:rPr>
          <w:spacing w:val="-5"/>
        </w:rPr>
        <w:t xml:space="preserve"> Il Mulino, Bologna, 2002.</w:t>
      </w:r>
    </w:p>
    <w:p w14:paraId="37913668" w14:textId="77777777" w:rsidR="000136C5" w:rsidRPr="004D1B19" w:rsidRDefault="000136C5" w:rsidP="000136C5">
      <w:pPr>
        <w:pStyle w:val="Testo1"/>
        <w:spacing w:before="0" w:line="240" w:lineRule="atLeast"/>
        <w:rPr>
          <w:spacing w:val="-5"/>
        </w:rPr>
      </w:pPr>
      <w:r w:rsidRPr="004D1B19">
        <w:rPr>
          <w:smallCaps/>
          <w:spacing w:val="-5"/>
          <w:sz w:val="16"/>
        </w:rPr>
        <w:t>G. Merzoni</w:t>
      </w:r>
      <w:r w:rsidRPr="000136C5">
        <w:rPr>
          <w:i/>
        </w:rPr>
        <w:t xml:space="preserve"> </w:t>
      </w:r>
      <w:r w:rsidRPr="000D7CBA">
        <w:rPr>
          <w:i/>
        </w:rPr>
        <w:t>Nel cambio d’epoca crescono incertezza e diseguaglianze</w:t>
      </w:r>
      <w:r w:rsidRPr="00A3360F">
        <w:t xml:space="preserve">, </w:t>
      </w:r>
      <w:r w:rsidRPr="00A3360F">
        <w:rPr>
          <w:i/>
        </w:rPr>
        <w:t>Vita e Pensiero,</w:t>
      </w:r>
      <w:r w:rsidRPr="00A3360F">
        <w:t xml:space="preserve"> 201</w:t>
      </w:r>
      <w:r>
        <w:t>8</w:t>
      </w:r>
      <w:r w:rsidRPr="00A3360F">
        <w:t>-</w:t>
      </w:r>
      <w:r>
        <w:t>2</w:t>
      </w:r>
      <w:r w:rsidRPr="00A3360F">
        <w:t xml:space="preserve">, pp </w:t>
      </w:r>
      <w:r>
        <w:t>33-41</w:t>
      </w:r>
      <w:r w:rsidRPr="00A3360F">
        <w:t>, 201</w:t>
      </w:r>
      <w:r>
        <w:t>8.</w:t>
      </w:r>
    </w:p>
    <w:p w14:paraId="0B50901C" w14:textId="77777777" w:rsidR="0008016B" w:rsidRPr="00FD10FC" w:rsidRDefault="0008016B" w:rsidP="004D1B19">
      <w:pPr>
        <w:pStyle w:val="Testo1"/>
      </w:pPr>
      <w:r w:rsidRPr="00FD10FC">
        <w:t xml:space="preserve">Ulteriori indicazioni bibliografiche e precisazioni su quelle riportate potranno essere </w:t>
      </w:r>
      <w:r w:rsidR="00A11DC3">
        <w:t xml:space="preserve">comunicate a lezione e </w:t>
      </w:r>
      <w:r w:rsidRPr="00FD10FC">
        <w:t xml:space="preserve">pubblicate sulla piattaforma </w:t>
      </w:r>
      <w:r w:rsidRPr="00FD10FC">
        <w:rPr>
          <w:i/>
        </w:rPr>
        <w:t>Blackboard</w:t>
      </w:r>
      <w:r w:rsidRPr="00FD10FC">
        <w:t>.</w:t>
      </w:r>
    </w:p>
    <w:p w14:paraId="2CB546F5" w14:textId="77777777" w:rsidR="0008016B" w:rsidRPr="0008016B" w:rsidRDefault="0008016B" w:rsidP="0008016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16FF51A" w14:textId="481A573C" w:rsidR="0008016B" w:rsidRPr="004D1B19" w:rsidRDefault="0008016B" w:rsidP="004D1B19">
      <w:pPr>
        <w:pStyle w:val="Testo2"/>
      </w:pPr>
      <w:r w:rsidRPr="004D1B19">
        <w:t xml:space="preserve">Sono previste lezioni frontali ed esercitazioni in aula. </w:t>
      </w:r>
    </w:p>
    <w:p w14:paraId="7F1AC6F3" w14:textId="35916D3E" w:rsidR="0008016B" w:rsidRPr="004D1B19" w:rsidRDefault="0008016B" w:rsidP="004D1B19">
      <w:pPr>
        <w:pStyle w:val="Testo2"/>
      </w:pPr>
      <w:r w:rsidRPr="004D1B19">
        <w:t xml:space="preserve">Durante le lezioni verranno presentati argomenti teorici, mentre le esercitazioni sono finalizzate a familiarizzare lo studente con la logica, la rappresentazione grafica e gli algoritmi di risoluzione dei modelli dettagliati durante l’insegnamento. </w:t>
      </w:r>
    </w:p>
    <w:p w14:paraId="414F56AE" w14:textId="77777777" w:rsidR="0008016B" w:rsidRPr="004D1B19" w:rsidRDefault="0008016B" w:rsidP="004D1B19">
      <w:pPr>
        <w:pStyle w:val="Testo2"/>
      </w:pPr>
      <w:r w:rsidRPr="004D1B19">
        <w:lastRenderedPageBreak/>
        <w:t>Materiali didattici verranno pubblicati sulla piattaforma Blackboard.</w:t>
      </w:r>
    </w:p>
    <w:p w14:paraId="1BBD3B89" w14:textId="77777777" w:rsidR="0008016B" w:rsidRPr="0008016B" w:rsidRDefault="0008016B" w:rsidP="0008016B">
      <w:pPr>
        <w:spacing w:before="240" w:after="120"/>
        <w:rPr>
          <w:rFonts w:eastAsia="Calibri"/>
          <w:b/>
          <w:i/>
          <w:sz w:val="18"/>
          <w:lang w:eastAsia="en-US"/>
        </w:rPr>
      </w:pPr>
      <w:r>
        <w:rPr>
          <w:rFonts w:eastAsia="Calibri"/>
          <w:b/>
          <w:i/>
          <w:sz w:val="18"/>
          <w:lang w:eastAsia="en-US"/>
        </w:rPr>
        <w:t>METODO E CRITERI DI VALUTAZIONE</w:t>
      </w:r>
    </w:p>
    <w:p w14:paraId="45A1C6F1" w14:textId="7615C650" w:rsidR="0008016B" w:rsidRPr="0008016B" w:rsidRDefault="0008016B" w:rsidP="0008016B">
      <w:pPr>
        <w:pStyle w:val="Testo2"/>
      </w:pPr>
      <w:r w:rsidRPr="0008016B">
        <w:t xml:space="preserve">L'esame </w:t>
      </w:r>
      <w:r w:rsidR="00121A9A">
        <w:t>deve</w:t>
      </w:r>
      <w:r w:rsidRPr="0008016B">
        <w:t xml:space="preserve"> essere superato attraverso un'unica prova scritta nella data ufficiale dell'appello seguita da una prova orale. </w:t>
      </w:r>
    </w:p>
    <w:p w14:paraId="346FC47E" w14:textId="77777777" w:rsidR="0008016B" w:rsidRPr="0008016B" w:rsidRDefault="0008016B" w:rsidP="0008016B">
      <w:pPr>
        <w:pStyle w:val="Testo2"/>
      </w:pPr>
      <w:r w:rsidRPr="0008016B">
        <w:t>La prova scritta nella data ufficiale dell’esame prevede sia domande di teoria e sull’analisi grafica, sia esercizi, con prevalenza di questi ultimi; la prova orale, riservata a chi abbia ottenuto una valutazione positiva nella prova scritta, si concentra sulla verifica della conoscenza delle nozioni di teoria e sull’analisi grafica.</w:t>
      </w:r>
    </w:p>
    <w:p w14:paraId="3ED1DB75" w14:textId="5930EDD2" w:rsidR="0008016B" w:rsidRDefault="00121A9A" w:rsidP="0008016B">
      <w:pPr>
        <w:pStyle w:val="Testo2"/>
      </w:pPr>
      <w:r>
        <w:t xml:space="preserve">Nelle prove scritte </w:t>
      </w:r>
      <w:r w:rsidR="0008016B" w:rsidRPr="0008016B">
        <w:t>la valutazione riguarda le conoscenze teoriche, l’analisi grafica e la capacità di risolvere semplici esercizi analitici. Riguardo a questi ultimi, gli errori di calcolo con procedimento corretto sono penalizzati con la metà dei punti attribuiti all’esercizio o alla parte di esercizio in questione. Nelle prove orali, che si concentrano sulla verifica della conoscenza delle nozioni di teoria e sull’analisi grafica, sono valutate in primo luogo la correttezza delle risposte e la precisione terminologica e logica, in secondo luogo l’efficacia espositiva.</w:t>
      </w:r>
    </w:p>
    <w:p w14:paraId="1DB6538F" w14:textId="77777777" w:rsidR="0008016B" w:rsidRPr="0008016B" w:rsidRDefault="0008016B" w:rsidP="0008016B">
      <w:pPr>
        <w:spacing w:before="240" w:after="120" w:line="240" w:lineRule="exact"/>
        <w:rPr>
          <w:rFonts w:eastAsia="Calibri"/>
          <w:b/>
          <w:i/>
          <w:sz w:val="18"/>
          <w:szCs w:val="20"/>
          <w:lang w:eastAsia="en-US"/>
        </w:rPr>
      </w:pPr>
      <w:r>
        <w:rPr>
          <w:rFonts w:eastAsia="Calibri"/>
          <w:b/>
          <w:i/>
          <w:sz w:val="18"/>
          <w:szCs w:val="20"/>
          <w:lang w:eastAsia="en-US"/>
        </w:rPr>
        <w:t>AVVERTENZE E PREREQUISITI</w:t>
      </w:r>
    </w:p>
    <w:p w14:paraId="76B04B1F" w14:textId="77777777" w:rsidR="0008016B" w:rsidRPr="0008016B" w:rsidRDefault="0008016B" w:rsidP="0008016B">
      <w:pPr>
        <w:pStyle w:val="Testo2"/>
      </w:pPr>
      <w:r w:rsidRPr="0008016B">
        <w:t>Durante il corso verrà utilizzata la piattaforma Blackboard, per cui si raccomanda agli studenti di disporre della propria password di accesso e di monitorarne la pagina dedicata, nonché di verificare la correttezza della mail inserita per non perdere le comunicazioni dei docenti.</w:t>
      </w:r>
    </w:p>
    <w:p w14:paraId="57EFC7AB" w14:textId="77777777" w:rsidR="0008016B" w:rsidRDefault="0008016B" w:rsidP="0008016B">
      <w:pPr>
        <w:pStyle w:val="Testo2"/>
      </w:pPr>
      <w:r w:rsidRPr="0008016B">
        <w:t xml:space="preserve">Prerequisito per poter seguire con profitto l’insegnamento è la conoscenza degli elementi di base dell’analisi microeconomica e in particolare della teoria del consumatore e della teoria dei mercati (monopolio, concorrenza perfetta, oligopolio). </w:t>
      </w:r>
    </w:p>
    <w:p w14:paraId="4FCF16F4" w14:textId="77777777" w:rsidR="004D1B19" w:rsidRDefault="004D1B19" w:rsidP="004D1B19">
      <w:pPr>
        <w:pStyle w:val="Testo2"/>
        <w:spacing w:before="120"/>
        <w:rPr>
          <w:rFonts w:eastAsia="Calibri"/>
          <w:i/>
        </w:rPr>
      </w:pPr>
      <w:r>
        <w:rPr>
          <w:rFonts w:eastAsia="Calibri"/>
          <w:i/>
        </w:rPr>
        <w:t>O</w:t>
      </w:r>
      <w:r w:rsidRPr="004D1B19">
        <w:rPr>
          <w:rFonts w:eastAsia="Calibri"/>
          <w:i/>
        </w:rPr>
        <w:t xml:space="preserve">rario e luogo di ricevimento </w:t>
      </w:r>
    </w:p>
    <w:p w14:paraId="56B05F30" w14:textId="232F336F" w:rsidR="0008016B" w:rsidRPr="004D1B19" w:rsidRDefault="0008016B" w:rsidP="004D1B19">
      <w:pPr>
        <w:pStyle w:val="Testo2"/>
      </w:pPr>
      <w:r w:rsidRPr="004D1B19">
        <w:t xml:space="preserve">Il Prof. Guido Merzoni riceve gli studenti </w:t>
      </w:r>
      <w:r w:rsidR="00811B2F">
        <w:t xml:space="preserve">previo appuntamento </w:t>
      </w:r>
      <w:r w:rsidRPr="004D1B19">
        <w:t>presso il Dipartimento di Economia Internazionale, delle Istituzioni e dello Sviluppo, Via Necchi, 5 IV piano, secondo l'orario esposto in quella sede e pubblicato sulla Pagina Personale Docente</w:t>
      </w:r>
      <w:r w:rsidR="00811B2F">
        <w:t>.</w:t>
      </w:r>
      <w:r w:rsidRPr="004D1B19">
        <w:t xml:space="preserve"> </w:t>
      </w:r>
    </w:p>
    <w:p w14:paraId="47409864" w14:textId="62415B0A" w:rsidR="0008016B" w:rsidRDefault="0008016B" w:rsidP="004D1B19">
      <w:pPr>
        <w:pStyle w:val="Testo2"/>
      </w:pPr>
      <w:r w:rsidRPr="004D1B19">
        <w:t>Gli orari di ricevimento potrebbero subire delle modifiche, quindi si consiglia di prendere sempre visione degli avvisi nella bacheca elettronica della Pagina Personale dei docenti.</w:t>
      </w:r>
    </w:p>
    <w:p w14:paraId="004E6DB9" w14:textId="5BD3F293" w:rsidR="00630705" w:rsidRDefault="00630705" w:rsidP="004D1B19">
      <w:pPr>
        <w:pStyle w:val="Testo2"/>
      </w:pPr>
    </w:p>
    <w:p w14:paraId="6D0DDD39" w14:textId="47ECCA8B" w:rsidR="00630705" w:rsidRDefault="00630705" w:rsidP="004D1B19">
      <w:pPr>
        <w:pStyle w:val="Testo2"/>
      </w:pPr>
    </w:p>
    <w:sectPr w:rsidR="0063070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4871" w14:textId="77777777" w:rsidR="00A33832" w:rsidRDefault="00A33832" w:rsidP="00417132">
      <w:pPr>
        <w:spacing w:line="240" w:lineRule="auto"/>
      </w:pPr>
      <w:r>
        <w:separator/>
      </w:r>
    </w:p>
  </w:endnote>
  <w:endnote w:type="continuationSeparator" w:id="0">
    <w:p w14:paraId="21B61ACD" w14:textId="77777777" w:rsidR="00A33832" w:rsidRDefault="00A33832" w:rsidP="004171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CAC7" w14:textId="77777777" w:rsidR="00A33832" w:rsidRDefault="00A33832" w:rsidP="00417132">
      <w:pPr>
        <w:spacing w:line="240" w:lineRule="auto"/>
      </w:pPr>
      <w:r>
        <w:separator/>
      </w:r>
    </w:p>
  </w:footnote>
  <w:footnote w:type="continuationSeparator" w:id="0">
    <w:p w14:paraId="25849951" w14:textId="77777777" w:rsidR="00A33832" w:rsidRDefault="00A33832" w:rsidP="00417132">
      <w:pPr>
        <w:spacing w:line="240" w:lineRule="auto"/>
      </w:pPr>
      <w:r>
        <w:continuationSeparator/>
      </w:r>
    </w:p>
  </w:footnote>
  <w:footnote w:id="1">
    <w:p w14:paraId="37F03BC1" w14:textId="62B415C9" w:rsidR="00417132" w:rsidRDefault="0041713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0F3E"/>
    <w:multiLevelType w:val="hybridMultilevel"/>
    <w:tmpl w:val="708AF3AE"/>
    <w:lvl w:ilvl="0" w:tplc="2CB0EB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7344E"/>
    <w:multiLevelType w:val="hybridMultilevel"/>
    <w:tmpl w:val="BC7459AC"/>
    <w:lvl w:ilvl="0" w:tplc="F2AE9D8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8071334">
    <w:abstractNumId w:val="1"/>
  </w:num>
  <w:num w:numId="2" w16cid:durableId="31811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16B"/>
    <w:rsid w:val="000136C5"/>
    <w:rsid w:val="00034C9C"/>
    <w:rsid w:val="0008016B"/>
    <w:rsid w:val="00087792"/>
    <w:rsid w:val="000F2CDA"/>
    <w:rsid w:val="00121A9A"/>
    <w:rsid w:val="001305A9"/>
    <w:rsid w:val="00187B99"/>
    <w:rsid w:val="002014DD"/>
    <w:rsid w:val="00281214"/>
    <w:rsid w:val="0029761E"/>
    <w:rsid w:val="002B669F"/>
    <w:rsid w:val="002D5E17"/>
    <w:rsid w:val="00355EE4"/>
    <w:rsid w:val="003B4D2C"/>
    <w:rsid w:val="003F6AFA"/>
    <w:rsid w:val="00417132"/>
    <w:rsid w:val="00452A31"/>
    <w:rsid w:val="004D1217"/>
    <w:rsid w:val="004D1B19"/>
    <w:rsid w:val="004D6008"/>
    <w:rsid w:val="00526CAB"/>
    <w:rsid w:val="00630705"/>
    <w:rsid w:val="00640794"/>
    <w:rsid w:val="006F0020"/>
    <w:rsid w:val="006F1772"/>
    <w:rsid w:val="00764E25"/>
    <w:rsid w:val="007840E0"/>
    <w:rsid w:val="007968B0"/>
    <w:rsid w:val="007D568B"/>
    <w:rsid w:val="00811B2F"/>
    <w:rsid w:val="00823921"/>
    <w:rsid w:val="00853B6A"/>
    <w:rsid w:val="008579B4"/>
    <w:rsid w:val="008942E7"/>
    <w:rsid w:val="008A1204"/>
    <w:rsid w:val="008B7F7B"/>
    <w:rsid w:val="00900CCA"/>
    <w:rsid w:val="00924B77"/>
    <w:rsid w:val="00940DA2"/>
    <w:rsid w:val="009E055C"/>
    <w:rsid w:val="00A11DC3"/>
    <w:rsid w:val="00A27720"/>
    <w:rsid w:val="00A33832"/>
    <w:rsid w:val="00A74F6F"/>
    <w:rsid w:val="00AD7557"/>
    <w:rsid w:val="00B50C5D"/>
    <w:rsid w:val="00B51253"/>
    <w:rsid w:val="00B525CC"/>
    <w:rsid w:val="00BD096F"/>
    <w:rsid w:val="00D404F2"/>
    <w:rsid w:val="00D52CFC"/>
    <w:rsid w:val="00DA4DF5"/>
    <w:rsid w:val="00E24302"/>
    <w:rsid w:val="00E607E6"/>
    <w:rsid w:val="00FA02F8"/>
    <w:rsid w:val="00FB39B9"/>
    <w:rsid w:val="00FD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9952D"/>
  <w15:chartTrackingRefBased/>
  <w15:docId w15:val="{C8878B13-7B7B-4989-A8D3-2C387B61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08016B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DA4D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DA4DF5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29761E"/>
    <w:rPr>
      <w:szCs w:val="24"/>
    </w:rPr>
  </w:style>
  <w:style w:type="paragraph" w:styleId="Testonotaapidipagina">
    <w:name w:val="footnote text"/>
    <w:basedOn w:val="Normale"/>
    <w:link w:val="TestonotaapidipaginaCarattere"/>
    <w:rsid w:val="0041713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17132"/>
  </w:style>
  <w:style w:type="character" w:styleId="Rimandonotaapidipagina">
    <w:name w:val="footnote reference"/>
    <w:basedOn w:val="Carpredefinitoparagrafo"/>
    <w:rsid w:val="00417132"/>
    <w:rPr>
      <w:vertAlign w:val="superscript"/>
    </w:rPr>
  </w:style>
  <w:style w:type="character" w:styleId="Collegamentoipertestuale">
    <w:name w:val="Hyperlink"/>
    <w:basedOn w:val="Carpredefinitoparagrafo"/>
    <w:rsid w:val="004171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7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varian-hal-r/microeconomia-9788875433079-17912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8FF9F-3666-4B35-9D7F-91BA361A19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Economia politica superiore (6 cfu)</vt:lpstr>
      <vt:lpstr>    Prof. Guido Merzoni</vt:lpstr>
    </vt:vector>
  </TitlesOfParts>
  <Company>U.C.S.C. MILANO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2026-07-09T06:53:00Z</dcterms:created>
  <dcterms:modified xsi:type="dcterms:W3CDTF">2026-07-13T12:22:00Z</dcterms:modified>
</cp:coreProperties>
</file>