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24E06" w14:textId="77777777" w:rsidR="004F4D64" w:rsidRPr="00E04F2B" w:rsidRDefault="005C1A29" w:rsidP="00E04F2B">
      <w:pPr>
        <w:pStyle w:val="Titolo1"/>
        <w:keepNext w:val="0"/>
        <w:tabs>
          <w:tab w:val="clear" w:pos="284"/>
        </w:tabs>
        <w:suppressAutoHyphens w:val="0"/>
        <w:autoSpaceDN/>
        <w:spacing w:after="0"/>
        <w:textAlignment w:val="auto"/>
        <w:rPr>
          <w:rFonts w:eastAsia="Times New Roman" w:cs="Times New Roman"/>
          <w:noProof/>
          <w:kern w:val="0"/>
          <w:sz w:val="20"/>
          <w:szCs w:val="20"/>
        </w:rPr>
      </w:pPr>
      <w:r w:rsidRPr="00E04F2B">
        <w:rPr>
          <w:rFonts w:eastAsia="Times New Roman" w:cs="Times New Roman"/>
          <w:noProof/>
          <w:kern w:val="0"/>
          <w:sz w:val="20"/>
          <w:szCs w:val="20"/>
        </w:rPr>
        <w:t>Imprese, cultura e mercati</w:t>
      </w:r>
    </w:p>
    <w:p w14:paraId="1347FC19" w14:textId="77777777" w:rsidR="004F4D64" w:rsidRPr="00E04F2B" w:rsidRDefault="005C1A29" w:rsidP="00E04F2B">
      <w:pPr>
        <w:pStyle w:val="Titolo2"/>
        <w:keepNext w:val="0"/>
        <w:tabs>
          <w:tab w:val="clear" w:pos="284"/>
        </w:tabs>
        <w:suppressAutoHyphens w:val="0"/>
        <w:autoSpaceDN/>
        <w:spacing w:before="0" w:after="0"/>
        <w:textAlignment w:val="auto"/>
        <w:rPr>
          <w:rFonts w:eastAsia="Times New Roman" w:cs="Times New Roman"/>
          <w:noProof/>
          <w:kern w:val="0"/>
          <w:szCs w:val="20"/>
        </w:rPr>
      </w:pPr>
      <w:r w:rsidRPr="00E04F2B">
        <w:rPr>
          <w:rFonts w:eastAsia="Times New Roman" w:cs="Times New Roman"/>
          <w:noProof/>
          <w:kern w:val="0"/>
          <w:szCs w:val="20"/>
        </w:rPr>
        <w:t>Prof. Maurizio Stefano Mancuso; Prof.ssa Patrizia Musso</w:t>
      </w:r>
    </w:p>
    <w:p w14:paraId="4B9EFC3D" w14:textId="77777777" w:rsidR="004F4D64" w:rsidRDefault="005C1A29">
      <w:pPr>
        <w:pStyle w:val="Standard"/>
        <w:spacing w:before="240" w:after="120"/>
      </w:pPr>
      <w:r>
        <w:rPr>
          <w:b/>
          <w:i/>
          <w:sz w:val="18"/>
        </w:rPr>
        <w:t>OBIETTIVO DEL CORSO E RISULTATI DI APPRENDIMENTO ATTESI</w:t>
      </w:r>
    </w:p>
    <w:p w14:paraId="7836A3D6" w14:textId="3579741E" w:rsidR="004F4D64" w:rsidRDefault="005C1A29">
      <w:pPr>
        <w:pStyle w:val="Standard"/>
      </w:pPr>
      <w:r>
        <w:t>Il corso è strutturato in due moduli: “</w:t>
      </w:r>
      <w:r w:rsidR="00B91DE0">
        <w:t>F</w:t>
      </w:r>
      <w:r>
        <w:t>enomenologia culturale dei mercati” e “</w:t>
      </w:r>
      <w:r w:rsidR="00B91DE0">
        <w:t>M</w:t>
      </w:r>
      <w:r>
        <w:t xml:space="preserve">arketing aziendale e internal branding”. La prospettiva che lega assieme i due moduli è che l’impresa debba essere osservata sempre più come un soggetto culturale, capace di costruire ed esprimere un progetto “sociale” ad ampio raggio. Le organizzazioni sono laboratori in cui non soltanto </w:t>
      </w:r>
      <w:r>
        <w:rPr>
          <w:i/>
          <w:iCs/>
        </w:rPr>
        <w:t>si applicano</w:t>
      </w:r>
      <w:r>
        <w:t xml:space="preserve"> saperi e competenze pre-esistenti ma si </w:t>
      </w:r>
      <w:r>
        <w:rPr>
          <w:i/>
        </w:rPr>
        <w:t>generano</w:t>
      </w:r>
      <w:r>
        <w:t xml:space="preserve"> nuove visioni, proposte, orizzonti progettuali in grado di mettere in relazione fra loro l’impresa, i mercati e le persone (siano dipendenti o consumatori finali).</w:t>
      </w:r>
    </w:p>
    <w:p w14:paraId="6338328A" w14:textId="77777777" w:rsidR="004F4D64" w:rsidRDefault="005C1A29">
      <w:pPr>
        <w:pStyle w:val="Standard"/>
      </w:pPr>
      <w:r>
        <w:t xml:space="preserve">L’obiettivo del primo modulo è quello di descrivere nei suoi molteplici versanti ciò che si può definire il capitale simbolico dell’impresa, ovvero il </w:t>
      </w:r>
      <w:r>
        <w:rPr>
          <w:i/>
          <w:iCs/>
        </w:rPr>
        <w:t>mondo di senso</w:t>
      </w:r>
      <w:r>
        <w:t xml:space="preserve"> e il patrimonio di significati che agiscono all’interno dei mercati e delle aziende. L’insegnamento intende quindi offrire allo studente la capacità di riconoscere e valorizzare le forme simboliche, di matrice fenomenologico-esistenziale, operanti nel mondo del lavoro, nella costruzione dell’offerta aziendale, nelle dinamiche organizzative. In particolare, uno specifico risultato d’apprendimento riguarda la messa in opera, da parte degli studenti, di un approccio metodologico di analisi e osservazione della realtà che sappia immergersi in una viva fenomenologia dell’esperienza umana, riconoscendo i tratti peculiari e distintivi di ogni scenario di senso indagato (gli immaginari del consumo, il lavoro, le differenze di genere, la coniugazione uomo-tecnologia, e così via), con  uno sguardo aperto e non riduzionista, capace di  snidare il senso racchiuso nelle cose stesse.</w:t>
      </w:r>
    </w:p>
    <w:p w14:paraId="7DF7C440" w14:textId="79104EB5" w:rsidR="004F4D64" w:rsidRDefault="005C1A29">
      <w:pPr>
        <w:pStyle w:val="Standard"/>
        <w:rPr>
          <w:rFonts w:ascii="Times" w:hAnsi="Times" w:cs="Times"/>
          <w:color w:val="000000"/>
        </w:rPr>
      </w:pPr>
      <w:r>
        <w:rPr>
          <w:color w:val="000000"/>
        </w:rPr>
        <w:t>Il secondo modulo, “</w:t>
      </w:r>
      <w:r w:rsidR="00B91DE0">
        <w:rPr>
          <w:color w:val="000000"/>
        </w:rPr>
        <w:t>M</w:t>
      </w:r>
      <w:r>
        <w:rPr>
          <w:color w:val="000000"/>
        </w:rPr>
        <w:t>arketing aziendale e internal branding</w:t>
      </w:r>
      <w:r>
        <w:rPr>
          <w:iCs/>
          <w:color w:val="000000"/>
        </w:rPr>
        <w:t>”,</w:t>
      </w:r>
      <w:r>
        <w:rPr>
          <w:color w:val="000000"/>
        </w:rPr>
        <w:t xml:space="preserve"> </w:t>
      </w:r>
      <w:r w:rsidR="00C754D2">
        <w:rPr>
          <w:rFonts w:ascii="Times" w:eastAsia="Calibri" w:hAnsi="Times" w:cs="Times"/>
          <w:color w:val="000000"/>
          <w:lang w:eastAsia="en-US"/>
        </w:rPr>
        <w:t xml:space="preserve">mira a </w:t>
      </w:r>
      <w:r>
        <w:rPr>
          <w:rFonts w:ascii="Times" w:eastAsia="Calibri" w:hAnsi="Times" w:cs="Times"/>
          <w:color w:val="000000"/>
          <w:lang w:eastAsia="en-US"/>
        </w:rPr>
        <w:t>mettere alla prova alcuni tool del mondo aziendale nella fase di pianificazione strategica della comunicazione interna, sia on sia offline</w:t>
      </w:r>
      <w:r w:rsidR="00EF289E">
        <w:rPr>
          <w:rFonts w:ascii="Times" w:eastAsia="Calibri" w:hAnsi="Times" w:cs="Times"/>
          <w:color w:val="000000"/>
          <w:lang w:eastAsia="en-US"/>
        </w:rPr>
        <w:t xml:space="preserve">. </w:t>
      </w:r>
      <w:r>
        <w:rPr>
          <w:rFonts w:ascii="Times" w:eastAsia="Calibri" w:hAnsi="Times" w:cs="Times"/>
          <w:color w:val="000000"/>
          <w:lang w:eastAsia="en-US"/>
        </w:rPr>
        <w:t>Il corso mostrerà la loro concreta applicazione alle logiche di Internal Branding, ovvero quell’insieme di tecniche e strategie rivolte ai dipendenti, attraverso canali di comunicazione sia on sia offline. All’interno delle modalità contemporanee di fare impresa e di creare valore sar</w:t>
      </w:r>
      <w:r w:rsidR="00A52395">
        <w:rPr>
          <w:rFonts w:ascii="Times" w:eastAsia="Calibri" w:hAnsi="Times" w:cs="Times"/>
          <w:color w:val="000000"/>
          <w:lang w:eastAsia="en-US"/>
        </w:rPr>
        <w:t xml:space="preserve">à </w:t>
      </w:r>
      <w:r>
        <w:rPr>
          <w:rFonts w:ascii="Times" w:eastAsia="Calibri" w:hAnsi="Times" w:cs="Times"/>
          <w:color w:val="000000"/>
          <w:lang w:eastAsia="en-US"/>
        </w:rPr>
        <w:t>particolarmente approfondit</w:t>
      </w:r>
      <w:r w:rsidR="00A52395">
        <w:rPr>
          <w:rFonts w:ascii="Times" w:eastAsia="Calibri" w:hAnsi="Times" w:cs="Times"/>
          <w:color w:val="000000"/>
          <w:lang w:eastAsia="en-US"/>
        </w:rPr>
        <w:t>o</w:t>
      </w:r>
      <w:r>
        <w:rPr>
          <w:rFonts w:ascii="Times" w:eastAsia="Calibri" w:hAnsi="Times" w:cs="Times"/>
          <w:color w:val="000000"/>
          <w:lang w:eastAsia="en-US"/>
        </w:rPr>
        <w:t xml:space="preserve"> il tema della sostenibilità ad ampio raggio. Al termine del secondo modulo lo studente sarà in grado di comprendere i punti di forza e di debolezza di tecniche e strategie utilizzabili in progetti di Internal Branding contemporanei; di</w:t>
      </w:r>
      <w:r>
        <w:rPr>
          <w:rFonts w:ascii="Times" w:hAnsi="Times" w:cs="Times"/>
          <w:color w:val="000000"/>
        </w:rPr>
        <w:t xml:space="preserve"> individuare possibili soluzioni strategiche ottimali grazie all’analisi di casi aziendali e ad alcuni esercizi operativi svolti durante le lezioni.</w:t>
      </w:r>
    </w:p>
    <w:p w14:paraId="2530CF93" w14:textId="77777777" w:rsidR="004F4D64" w:rsidRDefault="005C1A29">
      <w:pPr>
        <w:pStyle w:val="Standard"/>
        <w:spacing w:before="240" w:after="120"/>
      </w:pPr>
      <w:r>
        <w:rPr>
          <w:b/>
          <w:i/>
          <w:color w:val="000000"/>
          <w:sz w:val="18"/>
        </w:rPr>
        <w:t>PROGRAMMA DEL CORSO</w:t>
      </w:r>
    </w:p>
    <w:p w14:paraId="5C980BD9" w14:textId="77777777" w:rsidR="004F4D64" w:rsidRPr="005C1A29" w:rsidRDefault="005C1A29">
      <w:pPr>
        <w:pStyle w:val="Standard"/>
        <w:spacing w:line="240" w:lineRule="auto"/>
      </w:pPr>
      <w:r w:rsidRPr="005C1A29">
        <w:rPr>
          <w:color w:val="000000"/>
        </w:rPr>
        <w:lastRenderedPageBreak/>
        <w:t xml:space="preserve">I </w:t>
      </w:r>
      <w:r w:rsidRPr="005C1A29">
        <w:rPr>
          <w:smallCaps/>
          <w:color w:val="000000"/>
          <w:sz w:val="18"/>
        </w:rPr>
        <w:t>Modulo</w:t>
      </w:r>
      <w:r w:rsidRPr="005C1A29">
        <w:rPr>
          <w:color w:val="000000"/>
        </w:rPr>
        <w:t xml:space="preserve">: </w:t>
      </w:r>
      <w:r w:rsidRPr="005C1A29">
        <w:rPr>
          <w:i/>
          <w:color w:val="000000"/>
        </w:rPr>
        <w:t>Fenomenologia culturale dei mercati</w:t>
      </w:r>
      <w:r w:rsidRPr="005C1A29">
        <w:rPr>
          <w:i/>
          <w:iCs/>
          <w:color w:val="000000"/>
        </w:rPr>
        <w:t xml:space="preserve"> </w:t>
      </w:r>
      <w:r w:rsidRPr="005C1A29">
        <w:rPr>
          <w:iCs/>
          <w:color w:val="000000"/>
        </w:rPr>
        <w:t>(Prof. Maurizio Stefano Mancuso)</w:t>
      </w:r>
    </w:p>
    <w:p w14:paraId="500B6EAE" w14:textId="4697C84B" w:rsidR="004F4D64" w:rsidRDefault="005C1A29" w:rsidP="005C1A29">
      <w:pPr>
        <w:pStyle w:val="Standard"/>
        <w:tabs>
          <w:tab w:val="clear" w:pos="284"/>
        </w:tabs>
        <w:spacing w:before="120" w:line="240" w:lineRule="auto"/>
      </w:pPr>
      <w:r>
        <w:rPr>
          <w:color w:val="000000"/>
          <w:szCs w:val="20"/>
        </w:rPr>
        <w:t xml:space="preserve">Il primo scenario indagato </w:t>
      </w:r>
      <w:r w:rsidR="00D076D9" w:rsidRPr="00E46DBE">
        <w:rPr>
          <w:color w:val="000000" w:themeColor="text1"/>
          <w:szCs w:val="20"/>
        </w:rPr>
        <w:t xml:space="preserve">riguarda </w:t>
      </w:r>
      <w:r>
        <w:rPr>
          <w:color w:val="000000"/>
          <w:szCs w:val="20"/>
        </w:rPr>
        <w:t xml:space="preserve">la competizione nei mercati di consumo attuali. Attraverso numerosi esempi tratti dagli scenari competitivi, il corso </w:t>
      </w:r>
      <w:r w:rsidR="00D076D9" w:rsidRPr="00E46DBE">
        <w:rPr>
          <w:color w:val="000000" w:themeColor="text1"/>
          <w:szCs w:val="20"/>
        </w:rPr>
        <w:t xml:space="preserve">descrive </w:t>
      </w:r>
      <w:r>
        <w:rPr>
          <w:color w:val="000000"/>
          <w:szCs w:val="20"/>
        </w:rPr>
        <w:t xml:space="preserve">lo stretto connubio oggi esistente tra mondi del consumo e patrimonio immaginario della cultura. Si tratta di una fusione che ha notevoli implicazioni non solo al livello della teoria dei consumi e dell’impresa, ma anche sul piano della sociologia culturale e delle riflessioni - di matrice sociologica, filosofica e antropologica – legate ai temi della “invenzione del quotidiano” e dei processi di simbolizzazione nella cultura occidentale. I contenuti salienti </w:t>
      </w:r>
      <w:r w:rsidR="00D076D9" w:rsidRPr="00E46DBE">
        <w:rPr>
          <w:color w:val="000000" w:themeColor="text1"/>
          <w:szCs w:val="20"/>
        </w:rPr>
        <w:t xml:space="preserve">sono </w:t>
      </w:r>
      <w:r>
        <w:rPr>
          <w:color w:val="000000"/>
          <w:szCs w:val="20"/>
        </w:rPr>
        <w:t>i seguenti:</w:t>
      </w:r>
    </w:p>
    <w:p w14:paraId="61A1E3CC" w14:textId="77777777" w:rsidR="004F4D64" w:rsidRDefault="005C1A29">
      <w:pPr>
        <w:pStyle w:val="Standard"/>
        <w:spacing w:line="240" w:lineRule="auto"/>
        <w:ind w:left="284" w:hanging="284"/>
        <w:rPr>
          <w:color w:val="000000"/>
        </w:rPr>
      </w:pPr>
      <w:r>
        <w:rPr>
          <w:color w:val="000000"/>
        </w:rPr>
        <w:t>–</w:t>
      </w:r>
      <w:r>
        <w:rPr>
          <w:color w:val="000000"/>
        </w:rPr>
        <w:tab/>
        <w:t>I valori immateriali dei prodotti di consumo.</w:t>
      </w:r>
    </w:p>
    <w:p w14:paraId="1AACFA1B" w14:textId="77777777" w:rsidR="004F4D64" w:rsidRDefault="005C1A29">
      <w:pPr>
        <w:pStyle w:val="Standard"/>
        <w:spacing w:line="240" w:lineRule="auto"/>
        <w:ind w:left="284" w:hanging="284"/>
        <w:rPr>
          <w:color w:val="000000"/>
        </w:rPr>
      </w:pPr>
      <w:r>
        <w:rPr>
          <w:color w:val="000000"/>
        </w:rPr>
        <w:t>–</w:t>
      </w:r>
      <w:r>
        <w:rPr>
          <w:color w:val="000000"/>
        </w:rPr>
        <w:tab/>
        <w:t>La nozione d’immaginario e le sue declinazioni.</w:t>
      </w:r>
    </w:p>
    <w:p w14:paraId="79038DFC" w14:textId="3C34E030" w:rsidR="004F4D64" w:rsidRDefault="005C1A29">
      <w:pPr>
        <w:pStyle w:val="Standard"/>
        <w:spacing w:line="240" w:lineRule="auto"/>
        <w:ind w:left="284" w:hanging="284"/>
        <w:rPr>
          <w:color w:val="000000"/>
        </w:rPr>
      </w:pPr>
      <w:r>
        <w:rPr>
          <w:color w:val="000000"/>
        </w:rPr>
        <w:t>–</w:t>
      </w:r>
      <w:r>
        <w:rPr>
          <w:color w:val="000000"/>
        </w:rPr>
        <w:tab/>
        <w:t xml:space="preserve">La </w:t>
      </w:r>
      <w:r w:rsidR="00E46DBE">
        <w:rPr>
          <w:color w:val="000000"/>
        </w:rPr>
        <w:t xml:space="preserve">mappatura </w:t>
      </w:r>
      <w:r>
        <w:rPr>
          <w:color w:val="000000"/>
        </w:rPr>
        <w:t>fenomenologi</w:t>
      </w:r>
      <w:r w:rsidR="00E46DBE">
        <w:rPr>
          <w:color w:val="000000"/>
        </w:rPr>
        <w:t>ca</w:t>
      </w:r>
      <w:r>
        <w:rPr>
          <w:color w:val="000000"/>
        </w:rPr>
        <w:t xml:space="preserve"> </w:t>
      </w:r>
      <w:r w:rsidR="00E46DBE">
        <w:rPr>
          <w:color w:val="000000"/>
        </w:rPr>
        <w:t xml:space="preserve">dei </w:t>
      </w:r>
      <w:r>
        <w:rPr>
          <w:color w:val="000000"/>
        </w:rPr>
        <w:t>mercati e la</w:t>
      </w:r>
      <w:r w:rsidR="00E46DBE">
        <w:rPr>
          <w:color w:val="000000"/>
        </w:rPr>
        <w:t xml:space="preserve"> specificità culturale della competizione</w:t>
      </w:r>
    </w:p>
    <w:p w14:paraId="186AF4E2" w14:textId="53895E2A" w:rsidR="004F4D64" w:rsidRDefault="005C1A29">
      <w:pPr>
        <w:pStyle w:val="Standard"/>
        <w:tabs>
          <w:tab w:val="clear" w:pos="284"/>
        </w:tabs>
        <w:spacing w:line="240" w:lineRule="auto"/>
      </w:pPr>
      <w:r>
        <w:rPr>
          <w:color w:val="000000"/>
          <w:szCs w:val="20"/>
        </w:rPr>
        <w:t xml:space="preserve">Si esamineranno poi le dinamiche simboliche operanti all’interno della vita organizzativa e professionale dell’impresa, con un’attenzione specifica al tema della vocazione d’impresa </w:t>
      </w:r>
      <w:r>
        <w:rPr>
          <w:color w:val="000000"/>
        </w:rPr>
        <w:t>come ricerca di un’identità distintiva nel confronto competitivo, e alla crescente valorizzazione del contributo femminile sul lavoro</w:t>
      </w:r>
      <w:r w:rsidR="00E46DBE">
        <w:rPr>
          <w:color w:val="000000"/>
        </w:rPr>
        <w:t>.</w:t>
      </w:r>
    </w:p>
    <w:p w14:paraId="5A415126" w14:textId="77777777" w:rsidR="004F4D64" w:rsidRDefault="005C1A29">
      <w:pPr>
        <w:pStyle w:val="Standard"/>
        <w:tabs>
          <w:tab w:val="clear" w:pos="284"/>
        </w:tabs>
        <w:spacing w:line="240" w:lineRule="auto"/>
      </w:pPr>
      <w:r>
        <w:rPr>
          <w:color w:val="000000"/>
          <w:szCs w:val="20"/>
        </w:rPr>
        <w:t>Una particolare attenzione verrà poi rivolta alle trasformazioni culturali sul lavoro dettate dalla rivoluzione digitale in atto, sui molteplici versanti del lavoro nell’impresa: Organizzazione-Mercati-Ecosistema sociale-Mestieri.</w:t>
      </w:r>
    </w:p>
    <w:p w14:paraId="16D310D9" w14:textId="77777777" w:rsidR="004F4D64" w:rsidRDefault="005C1A29">
      <w:pPr>
        <w:pStyle w:val="Standard"/>
        <w:tabs>
          <w:tab w:val="clear" w:pos="284"/>
        </w:tabs>
        <w:spacing w:line="240" w:lineRule="auto"/>
      </w:pPr>
      <w:r>
        <w:rPr>
          <w:color w:val="000000"/>
          <w:szCs w:val="20"/>
        </w:rPr>
        <w:t>Il modulo prevede simulazioni ed esercitazioni guidate, con cui offrire agli studenti strumenti per affrontare argomentazioni e ricostruzioni di scenari, consuete nella vita organizzativa. Attraverso l’immersione nella fenomenologia del processo conoscitivo, e con l’ausilio di tecniche e pratiche argomentative, gli studenti saranno chiamati a partecipare a processi di analisi e diagnosi aziendali.</w:t>
      </w:r>
    </w:p>
    <w:p w14:paraId="61FE321B" w14:textId="295BA341" w:rsidR="004F4D64" w:rsidRPr="005C1A29" w:rsidRDefault="005C1A29">
      <w:pPr>
        <w:pStyle w:val="Standard"/>
        <w:spacing w:before="120" w:line="240" w:lineRule="auto"/>
      </w:pPr>
      <w:r w:rsidRPr="005C1A29">
        <w:rPr>
          <w:color w:val="000000"/>
        </w:rPr>
        <w:t xml:space="preserve">II </w:t>
      </w:r>
      <w:r w:rsidRPr="005C1A29">
        <w:rPr>
          <w:smallCaps/>
          <w:color w:val="000000"/>
          <w:sz w:val="18"/>
        </w:rPr>
        <w:t>Modulo</w:t>
      </w:r>
      <w:r w:rsidRPr="005C1A29">
        <w:rPr>
          <w:color w:val="000000"/>
        </w:rPr>
        <w:t xml:space="preserve">: </w:t>
      </w:r>
      <w:r w:rsidR="00A55851">
        <w:rPr>
          <w:i/>
          <w:iCs/>
          <w:color w:val="000000"/>
        </w:rPr>
        <w:t>M</w:t>
      </w:r>
      <w:r w:rsidRPr="005C1A29">
        <w:rPr>
          <w:i/>
          <w:iCs/>
          <w:color w:val="000000"/>
        </w:rPr>
        <w:t>arketing aziendale e internal branding</w:t>
      </w:r>
      <w:r w:rsidRPr="005C1A29">
        <w:rPr>
          <w:iCs/>
          <w:color w:val="000000"/>
        </w:rPr>
        <w:t xml:space="preserve"> (Prof.ssa Patrizia Musso)</w:t>
      </w:r>
    </w:p>
    <w:p w14:paraId="6FD53050" w14:textId="77777777" w:rsidR="004F4D64" w:rsidRDefault="005C1A29" w:rsidP="00754B2C">
      <w:pPr>
        <w:pStyle w:val="Standard"/>
      </w:pPr>
      <w:r>
        <w:rPr>
          <w:rFonts w:ascii="Times" w:eastAsia="Calibri" w:hAnsi="Times" w:cs="Times"/>
          <w:color w:val="000000"/>
          <w:lang w:eastAsia="en-US"/>
        </w:rPr>
        <w:t>Il corso approfondirà nel dettaglio le seguenti tematiche:</w:t>
      </w:r>
    </w:p>
    <w:p w14:paraId="60AB6C97" w14:textId="73AF69CD" w:rsidR="004F4D64" w:rsidRDefault="005C1A29" w:rsidP="005C1A29">
      <w:pPr>
        <w:pStyle w:val="Standard"/>
        <w:tabs>
          <w:tab w:val="clear" w:pos="284"/>
        </w:tabs>
        <w:ind w:left="284" w:hanging="284"/>
      </w:pPr>
      <w:r>
        <w:rPr>
          <w:rFonts w:ascii="Times" w:eastAsia="Calibri" w:hAnsi="Times" w:cs="Times"/>
          <w:color w:val="000000"/>
          <w:lang w:eastAsia="en-US"/>
        </w:rPr>
        <w:t>–</w:t>
      </w:r>
      <w:r>
        <w:rPr>
          <w:rFonts w:ascii="Times" w:eastAsia="Calibri" w:hAnsi="Times" w:cs="Times"/>
          <w:color w:val="000000"/>
          <w:lang w:eastAsia="en-US"/>
        </w:rPr>
        <w:tab/>
        <w:t xml:space="preserve">Concetti base </w:t>
      </w:r>
      <w:r w:rsidR="00E42AE2">
        <w:rPr>
          <w:rFonts w:ascii="Times" w:eastAsia="Calibri" w:hAnsi="Times" w:cs="Times"/>
          <w:color w:val="000000"/>
          <w:lang w:eastAsia="en-US"/>
        </w:rPr>
        <w:t>della comunicazione</w:t>
      </w:r>
      <w:r>
        <w:rPr>
          <w:rFonts w:ascii="Times" w:eastAsia="Calibri" w:hAnsi="Times" w:cs="Times"/>
          <w:color w:val="000000"/>
          <w:lang w:eastAsia="en-US"/>
        </w:rPr>
        <w:t xml:space="preserve"> aziendale</w:t>
      </w:r>
      <w:r w:rsidR="00E42AE2">
        <w:rPr>
          <w:rFonts w:ascii="Times" w:eastAsia="Calibri" w:hAnsi="Times" w:cs="Times"/>
          <w:color w:val="000000"/>
          <w:lang w:eastAsia="en-US"/>
        </w:rPr>
        <w:t xml:space="preserve"> </w:t>
      </w:r>
      <w:r>
        <w:rPr>
          <w:rFonts w:ascii="Times" w:eastAsia="Calibri" w:hAnsi="Times" w:cs="Times"/>
          <w:color w:val="000000"/>
          <w:lang w:eastAsia="en-US"/>
        </w:rPr>
        <w:t>(ascolto, pubblico</w:t>
      </w:r>
      <w:r w:rsidR="002C6488">
        <w:rPr>
          <w:rFonts w:ascii="Times" w:eastAsia="Calibri" w:hAnsi="Times" w:cs="Times"/>
          <w:color w:val="000000"/>
          <w:lang w:eastAsia="en-US"/>
        </w:rPr>
        <w:t>/pubblici</w:t>
      </w:r>
      <w:r>
        <w:rPr>
          <w:rFonts w:ascii="Times" w:eastAsia="Calibri" w:hAnsi="Times" w:cs="Times"/>
          <w:color w:val="000000"/>
          <w:lang w:eastAsia="en-US"/>
        </w:rPr>
        <w:t>, obiettivi, strategie</w:t>
      </w:r>
      <w:r w:rsidR="005A5169">
        <w:rPr>
          <w:rFonts w:ascii="Times" w:eastAsia="Calibri" w:hAnsi="Times" w:cs="Times"/>
          <w:color w:val="000000"/>
          <w:lang w:eastAsia="en-US"/>
        </w:rPr>
        <w:t>, KPI</w:t>
      </w:r>
      <w:r>
        <w:rPr>
          <w:rFonts w:ascii="Times" w:eastAsia="Calibri" w:hAnsi="Times" w:cs="Times"/>
          <w:color w:val="000000"/>
          <w:lang w:eastAsia="en-US"/>
        </w:rPr>
        <w:t>)</w:t>
      </w:r>
      <w:r w:rsidR="001D4AFF">
        <w:rPr>
          <w:rFonts w:ascii="Times" w:eastAsia="Calibri" w:hAnsi="Times" w:cs="Times"/>
          <w:color w:val="000000"/>
          <w:lang w:eastAsia="en-US"/>
        </w:rPr>
        <w:t xml:space="preserve"> e </w:t>
      </w:r>
      <w:r>
        <w:rPr>
          <w:rFonts w:ascii="Times" w:eastAsia="Calibri" w:hAnsi="Times" w:cs="Times"/>
          <w:color w:val="000000"/>
          <w:lang w:eastAsia="en-US"/>
        </w:rPr>
        <w:t xml:space="preserve">alcuni </w:t>
      </w:r>
      <w:r w:rsidR="001D4AFF">
        <w:rPr>
          <w:rFonts w:ascii="Times" w:eastAsia="Calibri" w:hAnsi="Times" w:cs="Times"/>
          <w:color w:val="000000"/>
          <w:lang w:eastAsia="en-US"/>
        </w:rPr>
        <w:t xml:space="preserve">suoi </w:t>
      </w:r>
      <w:r>
        <w:rPr>
          <w:rFonts w:ascii="Times" w:eastAsia="Calibri" w:hAnsi="Times" w:cs="Times"/>
          <w:color w:val="000000"/>
          <w:lang w:eastAsia="en-US"/>
        </w:rPr>
        <w:t xml:space="preserve">noti tool </w:t>
      </w:r>
      <w:r w:rsidR="001D4AFF">
        <w:rPr>
          <w:rFonts w:ascii="Times" w:eastAsia="Calibri" w:hAnsi="Times" w:cs="Times"/>
          <w:color w:val="000000"/>
          <w:lang w:eastAsia="en-US"/>
        </w:rPr>
        <w:t>(</w:t>
      </w:r>
      <w:r>
        <w:rPr>
          <w:rFonts w:ascii="Times" w:eastAsia="Calibri" w:hAnsi="Times" w:cs="Times"/>
          <w:color w:val="000000"/>
          <w:lang w:eastAsia="en-US"/>
        </w:rPr>
        <w:t xml:space="preserve">come la </w:t>
      </w:r>
      <w:proofErr w:type="spellStart"/>
      <w:r>
        <w:rPr>
          <w:rFonts w:ascii="Times" w:eastAsia="Calibri" w:hAnsi="Times" w:cs="Times"/>
          <w:color w:val="000000"/>
          <w:lang w:eastAsia="en-US"/>
        </w:rPr>
        <w:t>Swot</w:t>
      </w:r>
      <w:proofErr w:type="spellEnd"/>
      <w:r>
        <w:rPr>
          <w:rFonts w:ascii="Times" w:eastAsia="Calibri" w:hAnsi="Times" w:cs="Times"/>
          <w:color w:val="000000"/>
          <w:lang w:eastAsia="en-US"/>
        </w:rPr>
        <w:t xml:space="preserve"> Analysis e le Buyer </w:t>
      </w:r>
      <w:proofErr w:type="spellStart"/>
      <w:r>
        <w:rPr>
          <w:rFonts w:ascii="Times" w:eastAsia="Calibri" w:hAnsi="Times" w:cs="Times"/>
          <w:color w:val="000000"/>
          <w:lang w:eastAsia="en-US"/>
        </w:rPr>
        <w:t>Personas</w:t>
      </w:r>
      <w:proofErr w:type="spellEnd"/>
      <w:r w:rsidR="001D4AFF">
        <w:rPr>
          <w:rFonts w:ascii="Times" w:eastAsia="Calibri" w:hAnsi="Times" w:cs="Times"/>
          <w:color w:val="000000"/>
          <w:lang w:eastAsia="en-US"/>
        </w:rPr>
        <w:t>)</w:t>
      </w:r>
      <w:r w:rsidR="005A5169">
        <w:rPr>
          <w:rFonts w:ascii="Times" w:eastAsia="Calibri" w:hAnsi="Times" w:cs="Times"/>
          <w:color w:val="000000"/>
          <w:lang w:eastAsia="en-US"/>
        </w:rPr>
        <w:t>.</w:t>
      </w:r>
    </w:p>
    <w:p w14:paraId="22813279" w14:textId="075C99BF" w:rsidR="00CF67FE" w:rsidRDefault="005C1A29" w:rsidP="00CF67FE">
      <w:pPr>
        <w:pStyle w:val="Standard"/>
        <w:tabs>
          <w:tab w:val="clear" w:pos="284"/>
        </w:tabs>
        <w:ind w:left="284" w:hanging="284"/>
        <w:rPr>
          <w:rFonts w:ascii="Times" w:eastAsia="Calibri" w:hAnsi="Times" w:cs="Times"/>
          <w:color w:val="000000"/>
          <w:lang w:eastAsia="en-US"/>
        </w:rPr>
      </w:pPr>
      <w:r>
        <w:rPr>
          <w:rFonts w:ascii="Times" w:eastAsia="Calibri" w:hAnsi="Times" w:cs="Times"/>
          <w:color w:val="000000"/>
          <w:lang w:eastAsia="en-US"/>
        </w:rPr>
        <w:t>–</w:t>
      </w:r>
      <w:r>
        <w:rPr>
          <w:rFonts w:ascii="Times" w:eastAsia="Calibri" w:hAnsi="Times" w:cs="Times"/>
          <w:color w:val="000000"/>
          <w:lang w:eastAsia="en-US"/>
        </w:rPr>
        <w:tab/>
      </w:r>
      <w:r w:rsidR="0072271B">
        <w:rPr>
          <w:rFonts w:ascii="Times" w:eastAsia="Calibri" w:hAnsi="Times" w:cs="Times"/>
          <w:color w:val="000000"/>
          <w:lang w:eastAsia="en-US"/>
        </w:rPr>
        <w:t>Fondamenti</w:t>
      </w:r>
      <w:r w:rsidR="00E42AE2">
        <w:rPr>
          <w:rFonts w:ascii="Times" w:eastAsia="Calibri" w:hAnsi="Times" w:cs="Times"/>
          <w:color w:val="000000"/>
          <w:lang w:eastAsia="en-US"/>
        </w:rPr>
        <w:t xml:space="preserve"> </w:t>
      </w:r>
      <w:r>
        <w:rPr>
          <w:rFonts w:ascii="Times" w:eastAsia="Calibri" w:hAnsi="Times" w:cs="Times"/>
          <w:color w:val="000000"/>
          <w:lang w:eastAsia="en-US"/>
        </w:rPr>
        <w:t>dell’approccio</w:t>
      </w:r>
      <w:r w:rsidR="00415F13">
        <w:rPr>
          <w:rFonts w:ascii="Times" w:eastAsia="Calibri" w:hAnsi="Times" w:cs="Times"/>
          <w:color w:val="000000"/>
          <w:lang w:eastAsia="en-US"/>
        </w:rPr>
        <w:t xml:space="preserve"> dell’</w:t>
      </w:r>
      <w:r>
        <w:rPr>
          <w:rFonts w:ascii="Times" w:eastAsia="Calibri" w:hAnsi="Times" w:cs="Times"/>
          <w:color w:val="000000"/>
          <w:lang w:eastAsia="en-US"/>
        </w:rPr>
        <w:t>Internal Branding</w:t>
      </w:r>
      <w:r w:rsidR="003226E2">
        <w:rPr>
          <w:rFonts w:ascii="Times" w:eastAsia="Calibri" w:hAnsi="Times" w:cs="Times"/>
          <w:color w:val="000000"/>
          <w:lang w:eastAsia="en-US"/>
        </w:rPr>
        <w:t xml:space="preserve"> </w:t>
      </w:r>
      <w:r w:rsidR="006B365B">
        <w:rPr>
          <w:rFonts w:ascii="Times" w:eastAsia="Calibri" w:hAnsi="Times" w:cs="Times"/>
          <w:color w:val="000000"/>
          <w:lang w:eastAsia="en-US"/>
        </w:rPr>
        <w:t xml:space="preserve">(E.V.P., </w:t>
      </w:r>
      <w:r w:rsidR="000D2D6A">
        <w:rPr>
          <w:rFonts w:ascii="Times" w:eastAsia="Calibri" w:hAnsi="Times" w:cs="Times"/>
          <w:color w:val="000000"/>
          <w:lang w:eastAsia="en-US"/>
        </w:rPr>
        <w:t xml:space="preserve">Brand </w:t>
      </w:r>
      <w:proofErr w:type="spellStart"/>
      <w:r w:rsidR="000D2D6A">
        <w:rPr>
          <w:rFonts w:ascii="Times" w:eastAsia="Calibri" w:hAnsi="Times" w:cs="Times"/>
          <w:color w:val="000000"/>
          <w:lang w:eastAsia="en-US"/>
        </w:rPr>
        <w:t>Reloading</w:t>
      </w:r>
      <w:proofErr w:type="spellEnd"/>
      <w:r w:rsidR="000D2D6A">
        <w:rPr>
          <w:rFonts w:ascii="Times" w:eastAsia="Calibri" w:hAnsi="Times" w:cs="Times"/>
          <w:color w:val="000000"/>
          <w:lang w:eastAsia="en-US"/>
        </w:rPr>
        <w:t xml:space="preserve">, </w:t>
      </w:r>
      <w:r w:rsidR="006B365B">
        <w:rPr>
          <w:rFonts w:ascii="Times" w:eastAsia="Calibri" w:hAnsi="Times" w:cs="Times"/>
          <w:color w:val="000000"/>
          <w:lang w:eastAsia="en-US"/>
        </w:rPr>
        <w:t xml:space="preserve">Stili di Leadership, Slow Factory e Slow Boss) </w:t>
      </w:r>
      <w:r w:rsidR="003226E2">
        <w:rPr>
          <w:rFonts w:ascii="Times" w:eastAsia="Calibri" w:hAnsi="Times" w:cs="Times"/>
          <w:color w:val="000000"/>
          <w:lang w:eastAsia="en-US"/>
        </w:rPr>
        <w:t xml:space="preserve">e </w:t>
      </w:r>
      <w:r w:rsidR="00AD2EE0">
        <w:rPr>
          <w:rFonts w:ascii="Times" w:eastAsia="Calibri" w:hAnsi="Times" w:cs="Times"/>
          <w:color w:val="000000"/>
          <w:lang w:eastAsia="en-US"/>
        </w:rPr>
        <w:t xml:space="preserve">tool </w:t>
      </w:r>
      <w:r w:rsidR="004A6637">
        <w:rPr>
          <w:rFonts w:ascii="Times" w:eastAsia="Calibri" w:hAnsi="Times" w:cs="Times"/>
          <w:color w:val="000000"/>
          <w:lang w:eastAsia="en-US"/>
        </w:rPr>
        <w:t xml:space="preserve">della </w:t>
      </w:r>
      <w:r w:rsidR="00AD2EE0">
        <w:rPr>
          <w:rFonts w:ascii="Times" w:eastAsia="Calibri" w:hAnsi="Times" w:cs="Times"/>
          <w:color w:val="000000"/>
          <w:lang w:eastAsia="en-US"/>
        </w:rPr>
        <w:t>ruota dell’</w:t>
      </w:r>
      <w:proofErr w:type="spellStart"/>
      <w:r w:rsidR="00AD2EE0">
        <w:rPr>
          <w:rFonts w:ascii="Times" w:eastAsia="Calibri" w:hAnsi="Times" w:cs="Times"/>
          <w:i/>
          <w:iCs/>
          <w:color w:val="000000"/>
          <w:lang w:eastAsia="en-US"/>
        </w:rPr>
        <w:t>Employee</w:t>
      </w:r>
      <w:proofErr w:type="spellEnd"/>
      <w:r w:rsidR="00AD2EE0">
        <w:rPr>
          <w:rFonts w:ascii="Times" w:eastAsia="Calibri" w:hAnsi="Times" w:cs="Times"/>
          <w:i/>
          <w:iCs/>
          <w:color w:val="000000"/>
          <w:lang w:eastAsia="en-US"/>
        </w:rPr>
        <w:t xml:space="preserve"> </w:t>
      </w:r>
      <w:proofErr w:type="spellStart"/>
      <w:r w:rsidR="00AD2EE0">
        <w:rPr>
          <w:rFonts w:ascii="Times" w:eastAsia="Calibri" w:hAnsi="Times" w:cs="Times"/>
          <w:i/>
          <w:iCs/>
          <w:color w:val="000000"/>
          <w:lang w:eastAsia="en-US"/>
        </w:rPr>
        <w:t>Centricity</w:t>
      </w:r>
      <w:proofErr w:type="spellEnd"/>
      <w:r w:rsidR="002C6488">
        <w:rPr>
          <w:rFonts w:ascii="Times" w:eastAsia="Calibri" w:hAnsi="Times" w:cs="Times"/>
          <w:color w:val="000000"/>
          <w:lang w:eastAsia="en-US"/>
        </w:rPr>
        <w:t>.</w:t>
      </w:r>
    </w:p>
    <w:p w14:paraId="023F471D" w14:textId="0C40DD9D" w:rsidR="00E1685E" w:rsidRDefault="00CF67FE" w:rsidP="00E1685E">
      <w:pPr>
        <w:pStyle w:val="Standard"/>
        <w:tabs>
          <w:tab w:val="clear" w:pos="284"/>
        </w:tabs>
        <w:ind w:left="284" w:hanging="284"/>
      </w:pPr>
      <w:r>
        <w:rPr>
          <w:rFonts w:ascii="Times" w:eastAsia="Calibri" w:hAnsi="Times" w:cs="Times"/>
          <w:color w:val="000000"/>
          <w:lang w:eastAsia="en-US"/>
        </w:rPr>
        <w:t xml:space="preserve">_   </w:t>
      </w:r>
      <w:r w:rsidR="002C6488">
        <w:rPr>
          <w:rFonts w:ascii="Times" w:eastAsia="Calibri" w:hAnsi="Times" w:cs="Times"/>
          <w:color w:val="000000"/>
          <w:lang w:eastAsia="en-US"/>
        </w:rPr>
        <w:tab/>
      </w:r>
      <w:r w:rsidR="005C1A29">
        <w:rPr>
          <w:rFonts w:ascii="Times" w:hAnsi="Times" w:cs="Times"/>
          <w:color w:val="000000"/>
        </w:rPr>
        <w:t>Principali canali comunicativi on e offline a servizio dell’Internal Branding (dalla cartellonistica</w:t>
      </w:r>
      <w:r w:rsidR="00B51C70">
        <w:rPr>
          <w:rFonts w:ascii="Times" w:hAnsi="Times" w:cs="Times"/>
          <w:color w:val="000000"/>
        </w:rPr>
        <w:t xml:space="preserve"> in azienda</w:t>
      </w:r>
      <w:r w:rsidR="005C1A29">
        <w:rPr>
          <w:rFonts w:ascii="Times" w:hAnsi="Times" w:cs="Times"/>
          <w:color w:val="000000"/>
        </w:rPr>
        <w:t xml:space="preserve"> ai prodotti audiovisivi; dai canali digitali </w:t>
      </w:r>
      <w:r w:rsidR="00B51C70">
        <w:rPr>
          <w:rFonts w:ascii="Times" w:hAnsi="Times" w:cs="Times"/>
          <w:color w:val="000000"/>
        </w:rPr>
        <w:t>ai</w:t>
      </w:r>
      <w:r w:rsidR="005C1A29">
        <w:rPr>
          <w:rFonts w:ascii="Times" w:hAnsi="Times" w:cs="Times"/>
          <w:color w:val="000000"/>
        </w:rPr>
        <w:t xml:space="preserve"> social media; dalla sede aziendale come piattaforma relazionale agli spazi ibridi di smart working</w:t>
      </w:r>
      <w:r w:rsidR="00B51C70">
        <w:rPr>
          <w:rFonts w:ascii="Times" w:hAnsi="Times" w:cs="Times"/>
          <w:color w:val="000000"/>
        </w:rPr>
        <w:t>)</w:t>
      </w:r>
      <w:r w:rsidR="00E1685E">
        <w:rPr>
          <w:rFonts w:ascii="Times" w:hAnsi="Times" w:cs="Times"/>
          <w:color w:val="000000"/>
        </w:rPr>
        <w:t>.</w:t>
      </w:r>
    </w:p>
    <w:p w14:paraId="67F701C1" w14:textId="44DD9B7F" w:rsidR="009B0FE4" w:rsidRDefault="005C1A29" w:rsidP="009B0FE4">
      <w:pPr>
        <w:pStyle w:val="Standard"/>
        <w:tabs>
          <w:tab w:val="clear" w:pos="284"/>
        </w:tabs>
        <w:ind w:left="284" w:hanging="284"/>
        <w:rPr>
          <w:rFonts w:ascii="Times" w:hAnsi="Times" w:cs="Times"/>
          <w:color w:val="000000"/>
        </w:rPr>
      </w:pPr>
      <w:r>
        <w:rPr>
          <w:rFonts w:ascii="Times" w:eastAsia="Calibri" w:hAnsi="Times" w:cs="Times"/>
          <w:color w:val="000000"/>
          <w:lang w:eastAsia="en-US"/>
        </w:rPr>
        <w:t>–</w:t>
      </w:r>
      <w:r w:rsidR="003D3317">
        <w:rPr>
          <w:rFonts w:ascii="Times" w:eastAsia="Calibri" w:hAnsi="Times" w:cs="Times"/>
          <w:color w:val="000000"/>
          <w:lang w:eastAsia="en-US"/>
        </w:rPr>
        <w:t xml:space="preserve"> </w:t>
      </w:r>
      <w:r w:rsidR="003D3317">
        <w:rPr>
          <w:rFonts w:ascii="Times" w:eastAsia="Calibri" w:hAnsi="Times" w:cs="Times"/>
          <w:color w:val="000000"/>
          <w:lang w:eastAsia="en-US"/>
        </w:rPr>
        <w:tab/>
      </w:r>
      <w:r w:rsidR="00E1685E">
        <w:rPr>
          <w:rFonts w:ascii="Times" w:eastAsia="Calibri" w:hAnsi="Times" w:cs="Times"/>
          <w:color w:val="000000"/>
          <w:lang w:eastAsia="en-US"/>
        </w:rPr>
        <w:t>Linee di continuità con gli approcci comunicativi usati</w:t>
      </w:r>
      <w:r w:rsidR="00D1087C">
        <w:rPr>
          <w:rFonts w:ascii="Times" w:eastAsia="Calibri" w:hAnsi="Times" w:cs="Times"/>
          <w:color w:val="000000"/>
          <w:lang w:eastAsia="en-US"/>
        </w:rPr>
        <w:t xml:space="preserve"> on/</w:t>
      </w:r>
      <w:proofErr w:type="spellStart"/>
      <w:r w:rsidR="00D1087C">
        <w:rPr>
          <w:rFonts w:ascii="Times" w:eastAsia="Calibri" w:hAnsi="Times" w:cs="Times"/>
          <w:color w:val="000000"/>
          <w:lang w:eastAsia="en-US"/>
        </w:rPr>
        <w:t>offlline</w:t>
      </w:r>
      <w:proofErr w:type="spellEnd"/>
      <w:r w:rsidR="00E1685E">
        <w:rPr>
          <w:rFonts w:ascii="Times" w:eastAsia="Calibri" w:hAnsi="Times" w:cs="Times"/>
          <w:color w:val="000000"/>
          <w:lang w:eastAsia="en-US"/>
        </w:rPr>
        <w:t xml:space="preserve"> nell’ambito dell’</w:t>
      </w:r>
      <w:proofErr w:type="spellStart"/>
      <w:r w:rsidR="00E1685E">
        <w:rPr>
          <w:rFonts w:ascii="Times" w:eastAsia="Calibri" w:hAnsi="Times" w:cs="Times"/>
          <w:color w:val="000000"/>
          <w:lang w:eastAsia="en-US"/>
        </w:rPr>
        <w:t>Employer</w:t>
      </w:r>
      <w:proofErr w:type="spellEnd"/>
      <w:r w:rsidR="00E1685E">
        <w:rPr>
          <w:rFonts w:ascii="Times" w:eastAsia="Calibri" w:hAnsi="Times" w:cs="Times"/>
          <w:color w:val="000000"/>
          <w:lang w:eastAsia="en-US"/>
        </w:rPr>
        <w:t xml:space="preserve"> Branding.</w:t>
      </w:r>
    </w:p>
    <w:p w14:paraId="24CD7FE3" w14:textId="1889B737" w:rsidR="004F4D64" w:rsidRPr="009B0FE4" w:rsidRDefault="009B0FE4" w:rsidP="00B51C70">
      <w:pPr>
        <w:pStyle w:val="Standard"/>
        <w:tabs>
          <w:tab w:val="clear" w:pos="284"/>
        </w:tabs>
        <w:ind w:left="284" w:hanging="284"/>
        <w:rPr>
          <w:rFonts w:ascii="Times" w:hAnsi="Times" w:cs="Times"/>
          <w:color w:val="000000"/>
        </w:rPr>
      </w:pPr>
      <w:r>
        <w:rPr>
          <w:rFonts w:ascii="Times" w:eastAsia="Calibri" w:hAnsi="Times" w:cs="Times"/>
          <w:color w:val="000000"/>
          <w:lang w:eastAsia="en-US"/>
        </w:rPr>
        <w:lastRenderedPageBreak/>
        <w:t>–</w:t>
      </w:r>
      <w:r w:rsidRPr="009B0FE4">
        <w:rPr>
          <w:rFonts w:ascii="Times" w:eastAsia="Calibri" w:hAnsi="Times" w:cs="Times"/>
          <w:color w:val="000000"/>
          <w:lang w:eastAsia="en-US"/>
        </w:rPr>
        <w:t xml:space="preserve"> </w:t>
      </w:r>
      <w:r>
        <w:rPr>
          <w:rFonts w:ascii="Times" w:eastAsia="Calibri" w:hAnsi="Times" w:cs="Times"/>
          <w:color w:val="000000"/>
          <w:lang w:eastAsia="en-US"/>
        </w:rPr>
        <w:tab/>
      </w:r>
      <w:r w:rsidR="005C1A29">
        <w:rPr>
          <w:rFonts w:ascii="Times" w:eastAsia="Calibri" w:hAnsi="Times" w:cs="Times"/>
          <w:color w:val="000000"/>
          <w:lang w:eastAsia="en-US"/>
        </w:rPr>
        <w:t>Pratiche aziendali di Internal Branding alla prova, con esercizi e una simulazione</w:t>
      </w:r>
      <w:r w:rsidR="003D1776">
        <w:rPr>
          <w:rFonts w:ascii="Times" w:eastAsia="Calibri" w:hAnsi="Times" w:cs="Times"/>
          <w:color w:val="000000"/>
          <w:lang w:eastAsia="en-US"/>
        </w:rPr>
        <w:t xml:space="preserve"> in aula </w:t>
      </w:r>
      <w:r w:rsidR="005C1A29">
        <w:rPr>
          <w:rFonts w:ascii="Times" w:eastAsia="Calibri" w:hAnsi="Times" w:cs="Times"/>
          <w:color w:val="000000"/>
          <w:lang w:eastAsia="en-US"/>
        </w:rPr>
        <w:t>grazie al lancio di un brief ad hoc in collaborazione con una nota azienda multinazionale.</w:t>
      </w:r>
    </w:p>
    <w:p w14:paraId="4A2F618A" w14:textId="5773F5FF" w:rsidR="004F4D64" w:rsidRDefault="005C1A29">
      <w:pPr>
        <w:pStyle w:val="Standard"/>
        <w:spacing w:before="240" w:after="120" w:line="220" w:lineRule="exact"/>
      </w:pPr>
      <w:r>
        <w:rPr>
          <w:b/>
          <w:i/>
          <w:sz w:val="18"/>
        </w:rPr>
        <w:t>BIBLIOGRAFIA</w:t>
      </w:r>
      <w:r w:rsidR="00E66195">
        <w:rPr>
          <w:rStyle w:val="Rimandonotaapidipagina"/>
          <w:b/>
          <w:i/>
          <w:sz w:val="18"/>
        </w:rPr>
        <w:footnoteReference w:id="1"/>
      </w:r>
    </w:p>
    <w:p w14:paraId="16BDB863" w14:textId="77777777" w:rsidR="004F4D64" w:rsidRDefault="005C1A29">
      <w:pPr>
        <w:pStyle w:val="Testo1"/>
        <w:spacing w:before="0"/>
        <w:ind w:firstLine="0"/>
      </w:pPr>
      <w:r>
        <w:rPr>
          <w:b/>
          <w:bCs/>
        </w:rPr>
        <w:t>Per il I modulo</w:t>
      </w:r>
    </w:p>
    <w:p w14:paraId="07576BDC" w14:textId="77777777" w:rsidR="004F4D64" w:rsidRDefault="005C1A29">
      <w:pPr>
        <w:pStyle w:val="Testo1"/>
        <w:spacing w:before="0"/>
        <w:ind w:left="0" w:firstLine="0"/>
      </w:pPr>
      <w:r>
        <w:t xml:space="preserve">Gli studenti dovranno prepararsi sulle dispense scritte dal docente e su un testo a scelta -o parti di testi- tra la bibliografia che verrà immessa su </w:t>
      </w:r>
      <w:proofErr w:type="spellStart"/>
      <w:r>
        <w:t>blackboard</w:t>
      </w:r>
      <w:proofErr w:type="spellEnd"/>
      <w:r>
        <w:t xml:space="preserve"> (riguardante le diverse parti e dimensioni del modulo), sulla base degli interessi maturati durante le lezioni.</w:t>
      </w:r>
    </w:p>
    <w:p w14:paraId="64EAFA66" w14:textId="77777777" w:rsidR="004F4D64" w:rsidRDefault="005C1A29">
      <w:pPr>
        <w:pStyle w:val="Testo1"/>
        <w:ind w:firstLine="0"/>
      </w:pPr>
      <w:r>
        <w:rPr>
          <w:b/>
          <w:bCs/>
        </w:rPr>
        <w:t>Per il II modulo</w:t>
      </w:r>
    </w:p>
    <w:p w14:paraId="2594F6FE" w14:textId="692C5FB1" w:rsidR="004F4D64" w:rsidRPr="00E04F2B" w:rsidRDefault="005C1A29">
      <w:pPr>
        <w:pStyle w:val="Testo1"/>
        <w:spacing w:before="0" w:line="240" w:lineRule="atLeast"/>
        <w:rPr>
          <w:color w:val="000000"/>
          <w:spacing w:val="-5"/>
          <w:lang w:val="en-US"/>
        </w:rPr>
      </w:pPr>
      <w:r w:rsidRPr="00E04F2B">
        <w:rPr>
          <w:color w:val="000000"/>
          <w:spacing w:val="-5"/>
          <w:lang w:val="en-US"/>
        </w:rPr>
        <w:t>B. Cova, Societing ovvero la piccola storia di un concetto fra marketing e sociologia, in A. Arvidsson-A. Giordano</w:t>
      </w:r>
      <w:r>
        <w:rPr>
          <w:color w:val="000000"/>
          <w:spacing w:val="-5"/>
          <w:lang w:val="en-US"/>
        </w:rPr>
        <w:t xml:space="preserve">, </w:t>
      </w:r>
      <w:r w:rsidRPr="00E04F2B">
        <w:rPr>
          <w:color w:val="000000"/>
          <w:spacing w:val="-5"/>
          <w:lang w:val="en-US"/>
        </w:rPr>
        <w:t>Societing Reloaded</w:t>
      </w:r>
      <w:r>
        <w:rPr>
          <w:color w:val="000000"/>
          <w:spacing w:val="-5"/>
          <w:lang w:val="en-US"/>
        </w:rPr>
        <w:t>, Egea, Milano, 2013.</w:t>
      </w:r>
      <w:r w:rsidR="00E66195">
        <w:rPr>
          <w:color w:val="000000"/>
          <w:spacing w:val="-5"/>
          <w:lang w:val="en-US"/>
        </w:rPr>
        <w:t xml:space="preserve"> </w:t>
      </w:r>
      <w:bookmarkStart w:id="0" w:name="_Hlk170391661"/>
      <w:r w:rsidR="00E66195">
        <w:rPr>
          <w:rFonts w:ascii="Times New Roman" w:hAnsi="Times New Roman"/>
          <w:i/>
          <w:color w:val="0070C0"/>
          <w:szCs w:val="18"/>
        </w:rPr>
        <w:fldChar w:fldCharType="begin"/>
      </w:r>
      <w:r w:rsidR="00E66195">
        <w:rPr>
          <w:rFonts w:ascii="Times New Roman" w:hAnsi="Times New Roman"/>
          <w:i/>
          <w:color w:val="0070C0"/>
          <w:szCs w:val="18"/>
        </w:rPr>
        <w:instrText>HYPERLINK "https://librerie.unicatt.it/scheda-libro/societing-reloaded-9788823833401-181617.html"</w:instrText>
      </w:r>
      <w:r w:rsidR="00E66195">
        <w:rPr>
          <w:rFonts w:ascii="Times New Roman" w:hAnsi="Times New Roman"/>
          <w:i/>
          <w:color w:val="0070C0"/>
          <w:szCs w:val="18"/>
        </w:rPr>
      </w:r>
      <w:r w:rsidR="00E66195">
        <w:rPr>
          <w:rFonts w:ascii="Times New Roman" w:hAnsi="Times New Roman"/>
          <w:i/>
          <w:color w:val="0070C0"/>
          <w:szCs w:val="18"/>
        </w:rPr>
        <w:fldChar w:fldCharType="separate"/>
      </w:r>
      <w:r w:rsidR="00E66195" w:rsidRPr="00E66195">
        <w:rPr>
          <w:rStyle w:val="Collegamentoipertestuale"/>
          <w:rFonts w:ascii="Times New Roman" w:hAnsi="Times New Roman"/>
          <w:i/>
          <w:szCs w:val="18"/>
        </w:rPr>
        <w:t>Acquista da VP</w:t>
      </w:r>
      <w:bookmarkEnd w:id="0"/>
      <w:r w:rsidR="00E66195">
        <w:rPr>
          <w:rFonts w:ascii="Times New Roman" w:hAnsi="Times New Roman"/>
          <w:i/>
          <w:color w:val="0070C0"/>
          <w:szCs w:val="18"/>
        </w:rPr>
        <w:fldChar w:fldCharType="end"/>
      </w:r>
    </w:p>
    <w:p w14:paraId="5ED4433E" w14:textId="77777777" w:rsidR="004F4D64" w:rsidRPr="00E04F2B" w:rsidRDefault="005C1A29">
      <w:pPr>
        <w:pStyle w:val="Testo1"/>
        <w:spacing w:before="0" w:line="240" w:lineRule="atLeast"/>
        <w:rPr>
          <w:color w:val="000000"/>
          <w:spacing w:val="-5"/>
          <w:lang w:val="en-US"/>
        </w:rPr>
      </w:pPr>
      <w:r w:rsidRPr="00E04F2B">
        <w:rPr>
          <w:color w:val="000000"/>
          <w:spacing w:val="-5"/>
          <w:lang w:val="en-US"/>
        </w:rPr>
        <w:t xml:space="preserve">P. KOTLER, H. </w:t>
      </w:r>
      <w:proofErr w:type="spellStart"/>
      <w:r w:rsidRPr="00E04F2B">
        <w:rPr>
          <w:color w:val="000000"/>
          <w:spacing w:val="-5"/>
          <w:lang w:val="en-US"/>
        </w:rPr>
        <w:t>Kartajaya</w:t>
      </w:r>
      <w:proofErr w:type="spellEnd"/>
      <w:r w:rsidRPr="00E04F2B">
        <w:rPr>
          <w:color w:val="000000"/>
          <w:spacing w:val="-5"/>
          <w:lang w:val="en-US"/>
        </w:rPr>
        <w:t>, I. Setiawan Marketing 6.0: The Future Is Immersive, John Wiley &amp; Sons Inc, 2023.</w:t>
      </w:r>
    </w:p>
    <w:p w14:paraId="5C941176" w14:textId="2D9D262E" w:rsidR="00BA7DB3" w:rsidRPr="00E04F2B" w:rsidRDefault="00BA7DB3">
      <w:pPr>
        <w:pStyle w:val="Testo1"/>
        <w:spacing w:before="0" w:line="240" w:lineRule="atLeast"/>
        <w:rPr>
          <w:color w:val="000000"/>
          <w:spacing w:val="-5"/>
          <w:lang w:val="en-US"/>
        </w:rPr>
      </w:pPr>
      <w:r w:rsidRPr="00E04F2B">
        <w:rPr>
          <w:color w:val="000000"/>
          <w:spacing w:val="-5"/>
          <w:lang w:val="en-US"/>
        </w:rPr>
        <w:t xml:space="preserve">P. Musso (a cura di), Guida </w:t>
      </w:r>
      <w:proofErr w:type="spellStart"/>
      <w:r w:rsidRPr="00E04F2B">
        <w:rPr>
          <w:color w:val="000000"/>
          <w:spacing w:val="-5"/>
          <w:lang w:val="en-US"/>
        </w:rPr>
        <w:t>pratica</w:t>
      </w:r>
      <w:proofErr w:type="spellEnd"/>
      <w:r w:rsidRPr="00E04F2B">
        <w:rPr>
          <w:color w:val="000000"/>
          <w:spacing w:val="-5"/>
          <w:lang w:val="en-US"/>
        </w:rPr>
        <w:t xml:space="preserve"> al Brand Reloading, </w:t>
      </w:r>
      <w:proofErr w:type="spellStart"/>
      <w:r w:rsidRPr="00E04F2B">
        <w:rPr>
          <w:color w:val="000000"/>
          <w:spacing w:val="-5"/>
          <w:lang w:val="en-US"/>
        </w:rPr>
        <w:t>FrancoAngeli</w:t>
      </w:r>
      <w:proofErr w:type="spellEnd"/>
      <w:r w:rsidRPr="00E04F2B">
        <w:rPr>
          <w:color w:val="000000"/>
          <w:spacing w:val="-5"/>
          <w:lang w:val="en-US"/>
        </w:rPr>
        <w:t>, Milano, 2025.</w:t>
      </w:r>
      <w:r w:rsidR="00E66195">
        <w:rPr>
          <w:color w:val="000000"/>
          <w:spacing w:val="-5"/>
          <w:lang w:val="en-US"/>
        </w:rPr>
        <w:t xml:space="preserve"> </w:t>
      </w:r>
      <w:hyperlink r:id="rId7" w:history="1">
        <w:r w:rsidR="00E66195" w:rsidRPr="00E66195">
          <w:rPr>
            <w:rStyle w:val="Collegamentoipertestuale"/>
            <w:rFonts w:ascii="Times New Roman" w:hAnsi="Times New Roman"/>
            <w:i/>
            <w:szCs w:val="18"/>
          </w:rPr>
          <w:t>Acquista da VP</w:t>
        </w:r>
      </w:hyperlink>
    </w:p>
    <w:p w14:paraId="6280B1C0" w14:textId="24A3D0B3" w:rsidR="004F4D64" w:rsidRPr="00E04F2B" w:rsidRDefault="005C1A29">
      <w:pPr>
        <w:pStyle w:val="Testo1"/>
        <w:spacing w:before="0" w:line="240" w:lineRule="atLeast"/>
        <w:rPr>
          <w:color w:val="000000"/>
          <w:spacing w:val="-5"/>
          <w:lang w:val="en-US"/>
        </w:rPr>
      </w:pPr>
      <w:r w:rsidRPr="00E04F2B">
        <w:rPr>
          <w:color w:val="000000"/>
          <w:spacing w:val="-5"/>
          <w:lang w:val="en-US"/>
        </w:rPr>
        <w:t xml:space="preserve">P. Musso, M.L. Bionda (a cura di), Brand Renaissance, </w:t>
      </w:r>
      <w:proofErr w:type="spellStart"/>
      <w:r w:rsidRPr="00E04F2B">
        <w:rPr>
          <w:color w:val="000000"/>
          <w:spacing w:val="-5"/>
          <w:lang w:val="en-US"/>
        </w:rPr>
        <w:t>FrancoAngeli</w:t>
      </w:r>
      <w:proofErr w:type="spellEnd"/>
      <w:r w:rsidRPr="00E04F2B">
        <w:rPr>
          <w:color w:val="000000"/>
          <w:spacing w:val="-5"/>
          <w:lang w:val="en-US"/>
        </w:rPr>
        <w:t>, Milano, 2020.</w:t>
      </w:r>
      <w:r w:rsidR="00E66195">
        <w:rPr>
          <w:color w:val="000000"/>
          <w:spacing w:val="-5"/>
          <w:lang w:val="en-US"/>
        </w:rPr>
        <w:t xml:space="preserve"> </w:t>
      </w:r>
      <w:hyperlink r:id="rId8" w:history="1">
        <w:r w:rsidR="00E66195" w:rsidRPr="00E66195">
          <w:rPr>
            <w:rStyle w:val="Collegamentoipertestuale"/>
            <w:rFonts w:ascii="Times New Roman" w:hAnsi="Times New Roman"/>
            <w:i/>
            <w:szCs w:val="18"/>
          </w:rPr>
          <w:t>Acquista da VP</w:t>
        </w:r>
      </w:hyperlink>
    </w:p>
    <w:p w14:paraId="7E2FEEFC" w14:textId="01938E0C" w:rsidR="004F4D64" w:rsidRPr="00E04F2B" w:rsidRDefault="005C1A29">
      <w:pPr>
        <w:pStyle w:val="Testo1"/>
        <w:spacing w:before="0" w:line="240" w:lineRule="atLeast"/>
        <w:rPr>
          <w:color w:val="000000"/>
          <w:spacing w:val="-5"/>
          <w:lang w:val="en-US"/>
        </w:rPr>
      </w:pPr>
      <w:r w:rsidRPr="00E04F2B">
        <w:rPr>
          <w:color w:val="000000"/>
          <w:spacing w:val="-5"/>
          <w:lang w:val="en-US"/>
        </w:rPr>
        <w:t>P. Musso, Slow Brand, FrancoAngeli, Milano, 2017 (</w:t>
      </w:r>
      <w:proofErr w:type="spellStart"/>
      <w:r w:rsidRPr="00E04F2B">
        <w:rPr>
          <w:color w:val="000000"/>
          <w:spacing w:val="-5"/>
          <w:lang w:val="en-US"/>
        </w:rPr>
        <w:t>nuova</w:t>
      </w:r>
      <w:proofErr w:type="spellEnd"/>
      <w:r w:rsidRPr="00E04F2B">
        <w:rPr>
          <w:color w:val="000000"/>
          <w:spacing w:val="-5"/>
          <w:lang w:val="en-US"/>
        </w:rPr>
        <w:t xml:space="preserve"> </w:t>
      </w:r>
      <w:proofErr w:type="spellStart"/>
      <w:r w:rsidRPr="00E04F2B">
        <w:rPr>
          <w:color w:val="000000"/>
          <w:spacing w:val="-5"/>
          <w:lang w:val="en-US"/>
        </w:rPr>
        <w:t>edizione</w:t>
      </w:r>
      <w:proofErr w:type="spellEnd"/>
      <w:r w:rsidRPr="00E04F2B">
        <w:rPr>
          <w:color w:val="000000"/>
          <w:spacing w:val="-5"/>
          <w:lang w:val="en-US"/>
        </w:rPr>
        <w:t xml:space="preserve"> </w:t>
      </w:r>
      <w:proofErr w:type="spellStart"/>
      <w:r w:rsidRPr="00E04F2B">
        <w:rPr>
          <w:color w:val="000000"/>
          <w:spacing w:val="-5"/>
          <w:lang w:val="en-US"/>
        </w:rPr>
        <w:t>ampliata</w:t>
      </w:r>
      <w:proofErr w:type="spellEnd"/>
      <w:r w:rsidRPr="00E04F2B">
        <w:rPr>
          <w:color w:val="000000"/>
          <w:spacing w:val="-5"/>
          <w:lang w:val="en-US"/>
        </w:rPr>
        <w:t>).</w:t>
      </w:r>
      <w:r w:rsidR="00E66195">
        <w:rPr>
          <w:color w:val="000000"/>
          <w:spacing w:val="-5"/>
          <w:lang w:val="en-US"/>
        </w:rPr>
        <w:t xml:space="preserve"> </w:t>
      </w:r>
      <w:hyperlink r:id="rId9" w:history="1">
        <w:r w:rsidR="00E66195" w:rsidRPr="00E66195">
          <w:rPr>
            <w:rStyle w:val="Collegamentoipertestuale"/>
            <w:rFonts w:ascii="Times New Roman" w:hAnsi="Times New Roman"/>
            <w:i/>
            <w:szCs w:val="18"/>
          </w:rPr>
          <w:t>Acquista da VP</w:t>
        </w:r>
      </w:hyperlink>
    </w:p>
    <w:p w14:paraId="0B970716" w14:textId="370918A0" w:rsidR="004F4D64" w:rsidRPr="00E04F2B" w:rsidRDefault="005C1A29">
      <w:pPr>
        <w:pStyle w:val="Testo1"/>
        <w:spacing w:before="0" w:line="240" w:lineRule="atLeast"/>
        <w:rPr>
          <w:color w:val="000000"/>
          <w:spacing w:val="-5"/>
          <w:lang w:val="en-US"/>
        </w:rPr>
      </w:pPr>
      <w:r w:rsidRPr="00E04F2B">
        <w:rPr>
          <w:color w:val="000000"/>
          <w:spacing w:val="-5"/>
          <w:lang w:val="en-US"/>
        </w:rPr>
        <w:t xml:space="preserve">P. Musso (a cura di), Internal Branding, </w:t>
      </w:r>
      <w:proofErr w:type="spellStart"/>
      <w:r w:rsidRPr="00E04F2B">
        <w:rPr>
          <w:color w:val="000000"/>
          <w:spacing w:val="-5"/>
          <w:lang w:val="en-US"/>
        </w:rPr>
        <w:t>FrancoAngeli</w:t>
      </w:r>
      <w:proofErr w:type="spellEnd"/>
      <w:r w:rsidRPr="00E04F2B">
        <w:rPr>
          <w:color w:val="000000"/>
          <w:spacing w:val="-5"/>
          <w:lang w:val="en-US"/>
        </w:rPr>
        <w:t>, Milano, 2007.</w:t>
      </w:r>
      <w:r w:rsidR="00E66195">
        <w:rPr>
          <w:color w:val="000000"/>
          <w:spacing w:val="-5"/>
          <w:lang w:val="en-US"/>
        </w:rPr>
        <w:t xml:space="preserve"> </w:t>
      </w:r>
      <w:hyperlink r:id="rId10" w:history="1">
        <w:r w:rsidR="00E66195" w:rsidRPr="00E66195">
          <w:rPr>
            <w:rStyle w:val="Collegamentoipertestuale"/>
            <w:rFonts w:ascii="Times New Roman" w:hAnsi="Times New Roman"/>
            <w:i/>
            <w:szCs w:val="18"/>
          </w:rPr>
          <w:t>Acquista da VP</w:t>
        </w:r>
      </w:hyperlink>
    </w:p>
    <w:p w14:paraId="3BF798C8" w14:textId="77777777" w:rsidR="004F4D64" w:rsidRDefault="005C1A29">
      <w:pPr>
        <w:pStyle w:val="Testo1"/>
        <w:rPr>
          <w:color w:val="000000"/>
        </w:rPr>
      </w:pPr>
      <w:r>
        <w:rPr>
          <w:color w:val="000000"/>
        </w:rPr>
        <w:t>Le indicazioni sull’uso della bibliografia verranno fornite durante le lezioni.</w:t>
      </w:r>
    </w:p>
    <w:p w14:paraId="1A7BDE36" w14:textId="77777777" w:rsidR="004F4D64" w:rsidRDefault="005C1A29">
      <w:pPr>
        <w:pStyle w:val="Standard"/>
        <w:spacing w:before="240" w:after="120" w:line="220" w:lineRule="exact"/>
      </w:pPr>
      <w:r>
        <w:rPr>
          <w:b/>
          <w:i/>
          <w:sz w:val="18"/>
        </w:rPr>
        <w:t>DIDATTICA DEL CORSO</w:t>
      </w:r>
    </w:p>
    <w:p w14:paraId="1D0886AD" w14:textId="77777777" w:rsidR="004F4D64" w:rsidRDefault="005C1A29">
      <w:pPr>
        <w:pStyle w:val="Testo2"/>
      </w:pPr>
      <w:r>
        <w:t>Per il I modulo: le lezioni si gioveranno di analisi di casi aziendali e di materiali multimediali. All’interno del Laboratorio, si stimolerà la partecipazione attiva nell’analisi del capitale simbolico di specifici settori competitivi, e si richiederà un breve commento scritto di un testo assegnato.</w:t>
      </w:r>
    </w:p>
    <w:p w14:paraId="6B235224" w14:textId="77777777" w:rsidR="004F4D64" w:rsidRDefault="005C1A29">
      <w:pPr>
        <w:pStyle w:val="Testo2"/>
      </w:pPr>
      <w:r>
        <w:t>Per il II modulo: lezioni frontali. Analisi di casi nazionali e internazionali; testimonianze aziendali. Simulazioni ed esercitazioni pratiche guidate in aula.</w:t>
      </w:r>
    </w:p>
    <w:p w14:paraId="0C546B8B" w14:textId="77777777" w:rsidR="004F4D64" w:rsidRDefault="005C1A29">
      <w:pPr>
        <w:pStyle w:val="Standard"/>
        <w:spacing w:before="240" w:after="120" w:line="220" w:lineRule="exact"/>
      </w:pPr>
      <w:r>
        <w:rPr>
          <w:b/>
          <w:i/>
          <w:sz w:val="18"/>
        </w:rPr>
        <w:t>METODO E CRITERI DI VALUTAZIONE</w:t>
      </w:r>
    </w:p>
    <w:p w14:paraId="1DAE756F" w14:textId="77777777" w:rsidR="004F4D64" w:rsidRDefault="005C1A29">
      <w:pPr>
        <w:pStyle w:val="Testo2"/>
      </w:pPr>
      <w:r>
        <w:rPr>
          <w:i/>
          <w:iCs/>
        </w:rPr>
        <w:t>Per il I modulo</w:t>
      </w:r>
      <w:r>
        <w:t>: Esame orale. L’esame verterà sulla conoscenza dei testi e sulla capacità di ricostruire le connessioni tra le varie parti del modulo, le sue tesi fondamentali, l’incrocio delle dimensioni economiche, simbolico-culturali e socio-antropologiche del corso stesso. Particolare rilevanza è assegnata alla consistenza argomentativa e alla precisione di linguaggio della prova o</w:t>
      </w:r>
      <w:r>
        <w:rPr>
          <w:color w:val="000000"/>
        </w:rPr>
        <w:t xml:space="preserve">rale. Gli studenti </w:t>
      </w:r>
      <w:r>
        <w:rPr>
          <w:i/>
          <w:color w:val="000000"/>
        </w:rPr>
        <w:t>non</w:t>
      </w:r>
      <w:r>
        <w:rPr>
          <w:color w:val="000000"/>
        </w:rPr>
        <w:t xml:space="preserve"> </w:t>
      </w:r>
      <w:r>
        <w:rPr>
          <w:i/>
          <w:color w:val="000000"/>
        </w:rPr>
        <w:t>frequentanti</w:t>
      </w:r>
      <w:r>
        <w:rPr>
          <w:color w:val="000000"/>
        </w:rPr>
        <w:t xml:space="preserve"> dovranno concordare con il docente una </w:t>
      </w:r>
      <w:r>
        <w:rPr>
          <w:color w:val="000000"/>
        </w:rPr>
        <w:lastRenderedPageBreak/>
        <w:t>bibliografia d’esame ad hoc che sostituirà le parti pratiche e d’immersione nei casi aziendali svolte in aula.</w:t>
      </w:r>
    </w:p>
    <w:p w14:paraId="48DBF72B" w14:textId="7F154CDE" w:rsidR="004F4D64" w:rsidRDefault="005C1A29">
      <w:pPr>
        <w:pStyle w:val="Testo2"/>
      </w:pPr>
      <w:r>
        <w:rPr>
          <w:i/>
          <w:iCs/>
          <w:color w:val="000000"/>
          <w:szCs w:val="18"/>
        </w:rPr>
        <w:t>Per il II modulo</w:t>
      </w:r>
      <w:r>
        <w:rPr>
          <w:color w:val="000000"/>
          <w:szCs w:val="18"/>
        </w:rPr>
        <w:t xml:space="preserve">: </w:t>
      </w:r>
      <w:r w:rsidR="00833B35">
        <w:rPr>
          <w:color w:val="000000"/>
        </w:rPr>
        <w:t xml:space="preserve">Esame scritto, con tre domande aperte a partire dallo </w:t>
      </w:r>
      <w:r>
        <w:rPr>
          <w:color w:val="000000"/>
        </w:rPr>
        <w:t xml:space="preserve">studio </w:t>
      </w:r>
      <w:r w:rsidR="00833B35">
        <w:rPr>
          <w:color w:val="000000"/>
        </w:rPr>
        <w:t xml:space="preserve">delle slide e </w:t>
      </w:r>
      <w:r>
        <w:rPr>
          <w:color w:val="000000"/>
        </w:rPr>
        <w:t xml:space="preserve">di alcuni articoli e testi suggeriti ad hoc (ulteriori indicazioni verranno fornite ad avvio corso). Verranno valutati l’uso appropriato della terminologia specifica del corso, la padronanza nei contenuti dei temi e delle pratiche presentate durante le lezioni, </w:t>
      </w:r>
      <w:r w:rsidR="00E86754">
        <w:rPr>
          <w:color w:val="000000"/>
        </w:rPr>
        <w:t xml:space="preserve">lo studio di casi aziendali e </w:t>
      </w:r>
      <w:r>
        <w:rPr>
          <w:color w:val="000000"/>
        </w:rPr>
        <w:t>l'originalità delle riflessioni proposte.</w:t>
      </w:r>
    </w:p>
    <w:p w14:paraId="32CB3D99" w14:textId="77777777" w:rsidR="004F4D64" w:rsidRDefault="005C1A29">
      <w:pPr>
        <w:pStyle w:val="Standard"/>
        <w:spacing w:before="240" w:after="120"/>
      </w:pPr>
      <w:r>
        <w:rPr>
          <w:b/>
          <w:i/>
          <w:sz w:val="18"/>
        </w:rPr>
        <w:t>AVVERTENZE E PREREQUISITI</w:t>
      </w:r>
    </w:p>
    <w:p w14:paraId="3A06ED33" w14:textId="77777777" w:rsidR="004F4D64" w:rsidRDefault="005C1A29">
      <w:pPr>
        <w:pStyle w:val="Testo2"/>
        <w:spacing w:before="120"/>
      </w:pPr>
      <w:r>
        <w:rPr>
          <w:szCs w:val="18"/>
        </w:rPr>
        <w:t xml:space="preserve">L’insegnamento non necessita di particolari prerequisiti. Per quanto riguarda il primo modulo, verrà immesso su </w:t>
      </w:r>
      <w:proofErr w:type="spellStart"/>
      <w:r>
        <w:rPr>
          <w:szCs w:val="18"/>
        </w:rPr>
        <w:t>blackboard</w:t>
      </w:r>
      <w:proofErr w:type="spellEnd"/>
      <w:r>
        <w:rPr>
          <w:szCs w:val="18"/>
        </w:rPr>
        <w:t xml:space="preserve"> un breve testo che potrà essere letto prima dell’inizio del corso, per poter cogliere con pienezza i collegamenti con le parti concrete dell’insegnamento e risolvere subito in aula eventuali incomprensioni del testo stesso.</w:t>
      </w:r>
    </w:p>
    <w:p w14:paraId="7B87445E" w14:textId="77777777" w:rsidR="004F4D64" w:rsidRDefault="005C1A29">
      <w:pPr>
        <w:pStyle w:val="Testo2"/>
        <w:spacing w:before="120"/>
      </w:pPr>
      <w:r>
        <w:rPr>
          <w:i/>
          <w:iCs/>
        </w:rPr>
        <w:t>Orario e luogo di ricevimento</w:t>
      </w:r>
    </w:p>
    <w:p w14:paraId="0F56D4FE" w14:textId="77777777" w:rsidR="004F4D64" w:rsidRDefault="005C1A29">
      <w:pPr>
        <w:pStyle w:val="Testo2"/>
      </w:pPr>
      <w:r>
        <w:t>Il Prof. Maurizio Stefano Mancuso riceve gli studenti su appuntamento.</w:t>
      </w:r>
    </w:p>
    <w:p w14:paraId="1135DE15" w14:textId="77777777" w:rsidR="004F4D64" w:rsidRDefault="005C1A29">
      <w:pPr>
        <w:pStyle w:val="Testo2"/>
      </w:pPr>
      <w:r>
        <w:t>La Prof.ssa Patrizia Musso riceve gli studenti su appuntamento.</w:t>
      </w:r>
    </w:p>
    <w:sectPr w:rsidR="004F4D64">
      <w:pgSz w:w="11906" w:h="16838"/>
      <w:pgMar w:top="3515" w:right="2608" w:bottom="3515" w:left="260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0B2F70" w14:textId="77777777" w:rsidR="00C91497" w:rsidRDefault="00C91497">
      <w:r>
        <w:separator/>
      </w:r>
    </w:p>
  </w:endnote>
  <w:endnote w:type="continuationSeparator" w:id="0">
    <w:p w14:paraId="64F08A4B" w14:textId="77777777" w:rsidR="00C91497" w:rsidRDefault="00C914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419578" w14:textId="77777777" w:rsidR="00C91497" w:rsidRDefault="00C91497">
      <w:r>
        <w:rPr>
          <w:color w:val="000000"/>
        </w:rPr>
        <w:separator/>
      </w:r>
    </w:p>
  </w:footnote>
  <w:footnote w:type="continuationSeparator" w:id="0">
    <w:p w14:paraId="5BA51D94" w14:textId="77777777" w:rsidR="00C91497" w:rsidRDefault="00C91497">
      <w:r>
        <w:continuationSeparator/>
      </w:r>
    </w:p>
  </w:footnote>
  <w:footnote w:id="1">
    <w:p w14:paraId="16B10C15" w14:textId="63EF16BB" w:rsidR="00E66195" w:rsidRDefault="00E66195">
      <w:pPr>
        <w:pStyle w:val="Testonotaapidipagina"/>
      </w:pPr>
      <w:r>
        <w:rPr>
          <w:rStyle w:val="Rimandonotaapidipagina"/>
        </w:rPr>
        <w:footnoteRef/>
      </w:r>
      <w:r>
        <w:t xml:space="preserve"> </w:t>
      </w:r>
      <w:r w:rsidRPr="001D7759">
        <w:rPr>
          <w:sz w:val="16"/>
          <w:szCs w:val="16"/>
        </w:rPr>
        <w:t xml:space="preserve">I testi indicati nella bibliografia sono acquistabili presso le librerie di Ateneo; è possibile acquistarli </w:t>
      </w:r>
      <w:r>
        <w:rPr>
          <w:sz w:val="16"/>
          <w:szCs w:val="16"/>
        </w:rPr>
        <w:t>anche presso altri rivenditori.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7370A"/>
    <w:multiLevelType w:val="multilevel"/>
    <w:tmpl w:val="62A24DDA"/>
    <w:styleLink w:val="WWNum2"/>
    <w:lvl w:ilvl="0">
      <w:numFmt w:val="bullet"/>
      <w:lvlText w:val="–"/>
      <w:lvlJc w:val="left"/>
      <w:pPr>
        <w:ind w:left="360" w:hanging="360"/>
      </w:pPr>
      <w:rPr>
        <w:rFonts w:ascii="Times New Roman" w:eastAsia="Calibri" w:hAnsi="Times New Roman" w:cs="Times New Roman"/>
      </w:rPr>
    </w:lvl>
    <w:lvl w:ilvl="1">
      <w:numFmt w:val="bullet"/>
      <w:lvlText w:val="o"/>
      <w:lvlJc w:val="left"/>
      <w:pPr>
        <w:ind w:left="1080" w:hanging="360"/>
      </w:pPr>
      <w:rPr>
        <w:rFonts w:ascii="Courier New" w:hAnsi="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rPr>
    </w:lvl>
    <w:lvl w:ilvl="8">
      <w:numFmt w:val="bullet"/>
      <w:lvlText w:val=""/>
      <w:lvlJc w:val="left"/>
      <w:pPr>
        <w:ind w:left="6120" w:hanging="360"/>
      </w:pPr>
      <w:rPr>
        <w:rFonts w:ascii="Wingdings" w:hAnsi="Wingdings"/>
      </w:rPr>
    </w:lvl>
  </w:abstractNum>
  <w:abstractNum w:abstractNumId="1" w15:restartNumberingAfterBreak="0">
    <w:nsid w:val="2C765B62"/>
    <w:multiLevelType w:val="multilevel"/>
    <w:tmpl w:val="018A41E6"/>
    <w:styleLink w:val="WWNum1"/>
    <w:lvl w:ilvl="0">
      <w:numFmt w:val="bullet"/>
      <w:lvlText w:val="–"/>
      <w:lvlJc w:val="left"/>
      <w:pPr>
        <w:ind w:left="720" w:hanging="360"/>
      </w:pPr>
      <w:rPr>
        <w:rFonts w:ascii="Times New Roman" w:eastAsia="Calibri" w:hAnsi="Times New Roman" w:cs="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 w15:restartNumberingAfterBreak="0">
    <w:nsid w:val="50645E10"/>
    <w:multiLevelType w:val="multilevel"/>
    <w:tmpl w:val="AF6A0832"/>
    <w:styleLink w:val="WWNum3"/>
    <w:lvl w:ilvl="0">
      <w:numFmt w:val="bullet"/>
      <w:lvlText w:val="−"/>
      <w:lvlJc w:val="left"/>
      <w:pPr>
        <w:ind w:left="360" w:hanging="360"/>
      </w:pPr>
      <w:rPr>
        <w:rFonts w:ascii="Times New Roman" w:hAnsi="Times New Roman" w:cs="Times New Roman"/>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3" w15:restartNumberingAfterBreak="0">
    <w:nsid w:val="520B27DE"/>
    <w:multiLevelType w:val="hybridMultilevel"/>
    <w:tmpl w:val="C66A4E94"/>
    <w:lvl w:ilvl="0" w:tplc="F33A9618">
      <w:start w:val="16"/>
      <w:numFmt w:val="bullet"/>
      <w:lvlText w:val="-"/>
      <w:lvlJc w:val="left"/>
      <w:pPr>
        <w:ind w:left="720" w:hanging="360"/>
      </w:pPr>
      <w:rPr>
        <w:rFonts w:ascii="Times" w:eastAsia="Calibri" w:hAnsi="Times" w:cs="Times" w:hint="default"/>
        <w:color w:val="00000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7D7D6E45"/>
    <w:multiLevelType w:val="hybridMultilevel"/>
    <w:tmpl w:val="34D08B98"/>
    <w:lvl w:ilvl="0" w:tplc="2D2C474A">
      <w:start w:val="16"/>
      <w:numFmt w:val="bullet"/>
      <w:lvlText w:val="-"/>
      <w:lvlJc w:val="left"/>
      <w:pPr>
        <w:ind w:left="720" w:hanging="360"/>
      </w:pPr>
      <w:rPr>
        <w:rFonts w:ascii="Times" w:eastAsia="Times New Roman" w:hAnsi="Times" w:cs="Time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16079836">
    <w:abstractNumId w:val="1"/>
  </w:num>
  <w:num w:numId="2" w16cid:durableId="45447074">
    <w:abstractNumId w:val="0"/>
  </w:num>
  <w:num w:numId="3" w16cid:durableId="1510097500">
    <w:abstractNumId w:val="2"/>
  </w:num>
  <w:num w:numId="4" w16cid:durableId="1586261330">
    <w:abstractNumId w:val="2"/>
  </w:num>
  <w:num w:numId="5" w16cid:durableId="1198736278">
    <w:abstractNumId w:val="4"/>
  </w:num>
  <w:num w:numId="6" w16cid:durableId="16690147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4D64"/>
    <w:rsid w:val="0004681E"/>
    <w:rsid w:val="000D2D6A"/>
    <w:rsid w:val="001078E4"/>
    <w:rsid w:val="001C19EB"/>
    <w:rsid w:val="001D4AFF"/>
    <w:rsid w:val="00292CF9"/>
    <w:rsid w:val="002C6488"/>
    <w:rsid w:val="002F7E69"/>
    <w:rsid w:val="003226E2"/>
    <w:rsid w:val="0034467E"/>
    <w:rsid w:val="003D1776"/>
    <w:rsid w:val="003D3317"/>
    <w:rsid w:val="00415F13"/>
    <w:rsid w:val="004A6637"/>
    <w:rsid w:val="004F4D64"/>
    <w:rsid w:val="005A5169"/>
    <w:rsid w:val="005C1A29"/>
    <w:rsid w:val="005F1B8D"/>
    <w:rsid w:val="006B365B"/>
    <w:rsid w:val="0070673F"/>
    <w:rsid w:val="0072271B"/>
    <w:rsid w:val="007462B2"/>
    <w:rsid w:val="00754B2C"/>
    <w:rsid w:val="00833B35"/>
    <w:rsid w:val="00864CF0"/>
    <w:rsid w:val="008B60A0"/>
    <w:rsid w:val="009A38F5"/>
    <w:rsid w:val="009B0FE4"/>
    <w:rsid w:val="009B1863"/>
    <w:rsid w:val="00A52395"/>
    <w:rsid w:val="00A55851"/>
    <w:rsid w:val="00AA01FB"/>
    <w:rsid w:val="00AD2EE0"/>
    <w:rsid w:val="00AE3F48"/>
    <w:rsid w:val="00B51C70"/>
    <w:rsid w:val="00B91DE0"/>
    <w:rsid w:val="00BA7DB3"/>
    <w:rsid w:val="00BC5A1D"/>
    <w:rsid w:val="00C754D2"/>
    <w:rsid w:val="00C91497"/>
    <w:rsid w:val="00CF67FE"/>
    <w:rsid w:val="00D076D9"/>
    <w:rsid w:val="00D1087C"/>
    <w:rsid w:val="00D342FF"/>
    <w:rsid w:val="00DC0FE2"/>
    <w:rsid w:val="00DC5283"/>
    <w:rsid w:val="00E04F2B"/>
    <w:rsid w:val="00E1685E"/>
    <w:rsid w:val="00E3339D"/>
    <w:rsid w:val="00E42AE2"/>
    <w:rsid w:val="00E46DBE"/>
    <w:rsid w:val="00E66195"/>
    <w:rsid w:val="00E86754"/>
    <w:rsid w:val="00EF289E"/>
    <w:rsid w:val="00F4249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21AC2"/>
  <w15:docId w15:val="{EB36344F-00AF-4502-8919-3512E984F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kern w:val="3"/>
        <w:lang w:val="it-IT" w:eastAsia="it-IT"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pPr>
  </w:style>
  <w:style w:type="paragraph" w:styleId="Titolo1">
    <w:name w:val="heading 1"/>
    <w:basedOn w:val="Heading"/>
    <w:next w:val="Textbody"/>
    <w:qFormat/>
    <w:pPr>
      <w:spacing w:before="480"/>
      <w:ind w:left="284" w:hanging="284"/>
      <w:outlineLvl w:val="0"/>
    </w:pPr>
    <w:rPr>
      <w:rFonts w:ascii="Times" w:hAnsi="Times"/>
      <w:b/>
    </w:rPr>
  </w:style>
  <w:style w:type="paragraph" w:styleId="Titolo2">
    <w:name w:val="heading 2"/>
    <w:basedOn w:val="Heading"/>
    <w:next w:val="Textbody"/>
    <w:unhideWhenUsed/>
    <w:qFormat/>
    <w:pPr>
      <w:outlineLvl w:val="1"/>
    </w:pPr>
    <w:rPr>
      <w:rFonts w:ascii="Times" w:hAnsi="Times"/>
      <w:smallCaps/>
      <w:sz w:val="18"/>
    </w:rPr>
  </w:style>
  <w:style w:type="paragraph" w:styleId="Titolo3">
    <w:name w:val="heading 3"/>
    <w:basedOn w:val="Heading"/>
    <w:next w:val="Textbody"/>
    <w:uiPriority w:val="9"/>
    <w:semiHidden/>
    <w:unhideWhenUsed/>
    <w:qFormat/>
    <w:pPr>
      <w:ind w:left="284" w:hanging="284"/>
      <w:outlineLvl w:val="2"/>
    </w:pPr>
    <w:rPr>
      <w:rFonts w:ascii="Times" w:hAnsi="Times"/>
      <w:i/>
      <w:caps/>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pPr>
      <w:widowControl/>
      <w:tabs>
        <w:tab w:val="left" w:pos="284"/>
      </w:tabs>
      <w:suppressAutoHyphens/>
      <w:spacing w:line="240" w:lineRule="exact"/>
      <w:jc w:val="both"/>
    </w:pPr>
    <w:rPr>
      <w:szCs w:val="24"/>
    </w:r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pPr>
  </w:style>
  <w:style w:type="paragraph" w:styleId="Elenco">
    <w:name w:val="List"/>
    <w:basedOn w:val="Textbody"/>
    <w:rPr>
      <w:rFonts w:cs="Arial"/>
    </w:rPr>
  </w:style>
  <w:style w:type="paragraph" w:styleId="Didascalia">
    <w:name w:val="caption"/>
    <w:basedOn w:val="Standard"/>
    <w:pPr>
      <w:suppressLineNumbers/>
      <w:spacing w:before="120" w:after="120"/>
    </w:pPr>
    <w:rPr>
      <w:rFonts w:cs="Arial"/>
      <w:i/>
      <w:iCs/>
      <w:sz w:val="24"/>
    </w:rPr>
  </w:style>
  <w:style w:type="paragraph" w:customStyle="1" w:styleId="Index">
    <w:name w:val="Index"/>
    <w:basedOn w:val="Standard"/>
    <w:pPr>
      <w:suppressLineNumbers/>
    </w:pPr>
    <w:rPr>
      <w:rFonts w:cs="Arial"/>
    </w:rPr>
  </w:style>
  <w:style w:type="paragraph" w:customStyle="1" w:styleId="Testo1">
    <w:name w:val="Testo 1"/>
    <w:pPr>
      <w:widowControl/>
      <w:suppressAutoHyphens/>
      <w:spacing w:before="120" w:line="220" w:lineRule="exact"/>
      <w:ind w:left="284" w:hanging="284"/>
      <w:jc w:val="both"/>
    </w:pPr>
    <w:rPr>
      <w:rFonts w:ascii="Times" w:hAnsi="Times"/>
      <w:sz w:val="18"/>
    </w:rPr>
  </w:style>
  <w:style w:type="paragraph" w:customStyle="1" w:styleId="Testo2">
    <w:name w:val="Testo 2"/>
    <w:pPr>
      <w:widowControl/>
      <w:tabs>
        <w:tab w:val="left" w:pos="284"/>
      </w:tabs>
      <w:suppressAutoHyphens/>
      <w:spacing w:line="220" w:lineRule="exact"/>
      <w:ind w:firstLine="284"/>
      <w:jc w:val="both"/>
    </w:pPr>
    <w:rPr>
      <w:rFonts w:ascii="Times" w:hAnsi="Times"/>
      <w:sz w:val="18"/>
    </w:rPr>
  </w:style>
  <w:style w:type="paragraph" w:customStyle="1" w:styleId="Textbodyindent">
    <w:name w:val="Text body indent"/>
    <w:basedOn w:val="Standard"/>
    <w:pPr>
      <w:ind w:left="568" w:hanging="284"/>
    </w:pPr>
    <w:rPr>
      <w:rFonts w:ascii="Times" w:hAnsi="Times"/>
      <w:szCs w:val="20"/>
    </w:rPr>
  </w:style>
  <w:style w:type="paragraph" w:styleId="Rientrocorpodeltesto2">
    <w:name w:val="Body Text Indent 2"/>
    <w:basedOn w:val="Standard"/>
    <w:pPr>
      <w:ind w:left="284" w:hanging="284"/>
    </w:pPr>
    <w:rPr>
      <w:rFonts w:ascii="Times" w:hAnsi="Times"/>
      <w:szCs w:val="20"/>
    </w:rPr>
  </w:style>
  <w:style w:type="paragraph" w:styleId="Paragrafoelenco">
    <w:name w:val="List Paragraph"/>
    <w:basedOn w:val="Standard"/>
    <w:pPr>
      <w:tabs>
        <w:tab w:val="clear" w:pos="284"/>
      </w:tabs>
      <w:spacing w:line="276" w:lineRule="auto"/>
      <w:ind w:left="720"/>
    </w:pPr>
    <w:rPr>
      <w:rFonts w:eastAsia="Calibri"/>
      <w:szCs w:val="22"/>
      <w:lang w:eastAsia="en-US"/>
    </w:rPr>
  </w:style>
  <w:style w:type="paragraph" w:styleId="Intestazione">
    <w:name w:val="header"/>
    <w:basedOn w:val="Standard"/>
    <w:pPr>
      <w:suppressLineNumbers/>
      <w:tabs>
        <w:tab w:val="clear" w:pos="284"/>
        <w:tab w:val="center" w:pos="4819"/>
        <w:tab w:val="right" w:pos="9638"/>
      </w:tabs>
      <w:spacing w:line="240" w:lineRule="auto"/>
    </w:pPr>
  </w:style>
  <w:style w:type="paragraph" w:styleId="Pidipagina">
    <w:name w:val="footer"/>
    <w:basedOn w:val="Standard"/>
    <w:pPr>
      <w:suppressLineNumbers/>
      <w:tabs>
        <w:tab w:val="clear" w:pos="284"/>
        <w:tab w:val="center" w:pos="4819"/>
        <w:tab w:val="right" w:pos="9638"/>
      </w:tabs>
      <w:spacing w:line="240" w:lineRule="auto"/>
    </w:pPr>
  </w:style>
  <w:style w:type="paragraph" w:styleId="Testonotaapidipagina">
    <w:name w:val="footnote text"/>
    <w:basedOn w:val="Standard"/>
    <w:pPr>
      <w:spacing w:line="240" w:lineRule="auto"/>
    </w:pPr>
    <w:rPr>
      <w:szCs w:val="20"/>
    </w:rPr>
  </w:style>
  <w:style w:type="character" w:customStyle="1" w:styleId="Titolo1Carattere">
    <w:name w:val="Titolo 1 Carattere"/>
    <w:rPr>
      <w:rFonts w:ascii="Times" w:hAnsi="Times"/>
      <w:b/>
      <w:lang w:val="it-IT" w:eastAsia="it-IT" w:bidi="ar-SA"/>
    </w:rPr>
  </w:style>
  <w:style w:type="character" w:customStyle="1" w:styleId="Titolo2Carattere">
    <w:name w:val="Titolo 2 Carattere"/>
    <w:rPr>
      <w:rFonts w:ascii="Times" w:hAnsi="Times"/>
      <w:smallCaps/>
      <w:sz w:val="18"/>
      <w:lang w:bidi="ar-SA"/>
    </w:rPr>
  </w:style>
  <w:style w:type="character" w:customStyle="1" w:styleId="RientrocorpodeltestoCarattere">
    <w:name w:val="Rientro corpo del testo Carattere"/>
    <w:basedOn w:val="Carpredefinitoparagrafo"/>
    <w:rPr>
      <w:rFonts w:ascii="Times" w:hAnsi="Times"/>
    </w:rPr>
  </w:style>
  <w:style w:type="character" w:customStyle="1" w:styleId="Rientrocorpodeltesto2Carattere">
    <w:name w:val="Rientro corpo del testo 2 Carattere"/>
    <w:basedOn w:val="Carpredefinitoparagrafo"/>
    <w:rPr>
      <w:rFonts w:ascii="Times" w:hAnsi="Times"/>
    </w:rPr>
  </w:style>
  <w:style w:type="character" w:customStyle="1" w:styleId="IntestazioneCarattere">
    <w:name w:val="Intestazione Carattere"/>
    <w:basedOn w:val="Carpredefinitoparagrafo"/>
    <w:rPr>
      <w:szCs w:val="24"/>
    </w:rPr>
  </w:style>
  <w:style w:type="character" w:customStyle="1" w:styleId="PidipaginaCarattere">
    <w:name w:val="Piè di pagina Carattere"/>
    <w:basedOn w:val="Carpredefinitoparagrafo"/>
    <w:rPr>
      <w:szCs w:val="24"/>
    </w:rPr>
  </w:style>
  <w:style w:type="character" w:customStyle="1" w:styleId="TestonotaapidipaginaCarattere">
    <w:name w:val="Testo nota a piè di pagina Carattere"/>
    <w:basedOn w:val="Carpredefinitoparagrafo"/>
  </w:style>
  <w:style w:type="character" w:styleId="Rimandonotaapidipagina">
    <w:name w:val="footnote reference"/>
    <w:basedOn w:val="Carpredefinitoparagrafo"/>
    <w:rPr>
      <w:position w:val="0"/>
      <w:vertAlign w:val="superscript"/>
    </w:rPr>
  </w:style>
  <w:style w:type="character" w:customStyle="1" w:styleId="Internetlink">
    <w:name w:val="Internet link"/>
    <w:basedOn w:val="Carpredefinitoparagrafo"/>
    <w:rPr>
      <w:color w:val="0000FF"/>
      <w:u w:val="single"/>
    </w:rPr>
  </w:style>
  <w:style w:type="character" w:styleId="Enfasicorsivo">
    <w:name w:val="Emphasis"/>
    <w:basedOn w:val="Carpredefinitoparagrafo"/>
    <w:rPr>
      <w:i/>
      <w:iCs/>
    </w:rPr>
  </w:style>
  <w:style w:type="character" w:customStyle="1" w:styleId="StrongEmphasis">
    <w:name w:val="Strong Emphasis"/>
    <w:basedOn w:val="Carpredefinitoparagrafo"/>
    <w:rPr>
      <w:b/>
      <w:bCs/>
    </w:rPr>
  </w:style>
  <w:style w:type="character" w:customStyle="1" w:styleId="ListLabel1">
    <w:name w:val="ListLabel 1"/>
    <w:rPr>
      <w:rFonts w:eastAsia="Calibri" w:cs="Times New Roman"/>
    </w:rPr>
  </w:style>
  <w:style w:type="character" w:customStyle="1" w:styleId="ListLabel2">
    <w:name w:val="ListLabel 2"/>
    <w:rPr>
      <w:rFonts w:cs="Times New Roman"/>
    </w:rPr>
  </w:style>
  <w:style w:type="character" w:customStyle="1" w:styleId="ListLabel3">
    <w:name w:val="ListLabel 3"/>
    <w:rPr>
      <w:rFonts w:cs="Courier New"/>
    </w:rPr>
  </w:style>
  <w:style w:type="numbering" w:customStyle="1" w:styleId="WWNum1">
    <w:name w:val="WWNum1"/>
    <w:basedOn w:val="Nessunelenco"/>
    <w:pPr>
      <w:numPr>
        <w:numId w:val="1"/>
      </w:numPr>
    </w:pPr>
  </w:style>
  <w:style w:type="numbering" w:customStyle="1" w:styleId="WWNum2">
    <w:name w:val="WWNum2"/>
    <w:basedOn w:val="Nessunelenco"/>
    <w:pPr>
      <w:numPr>
        <w:numId w:val="2"/>
      </w:numPr>
    </w:pPr>
  </w:style>
  <w:style w:type="numbering" w:customStyle="1" w:styleId="WWNum3">
    <w:name w:val="WWNum3"/>
    <w:basedOn w:val="Nessunelenco"/>
    <w:pPr>
      <w:numPr>
        <w:numId w:val="3"/>
      </w:numPr>
    </w:pPr>
  </w:style>
  <w:style w:type="character" w:styleId="Collegamentoipertestuale">
    <w:name w:val="Hyperlink"/>
    <w:basedOn w:val="Carpredefinitoparagrafo"/>
    <w:uiPriority w:val="99"/>
    <w:unhideWhenUsed/>
    <w:rsid w:val="00E66195"/>
    <w:rPr>
      <w:color w:val="467886" w:themeColor="hyperlink"/>
      <w:u w:val="single"/>
    </w:rPr>
  </w:style>
  <w:style w:type="character" w:styleId="Menzionenonrisolta">
    <w:name w:val="Unresolved Mention"/>
    <w:basedOn w:val="Carpredefinitoparagrafo"/>
    <w:uiPriority w:val="99"/>
    <w:semiHidden/>
    <w:unhideWhenUsed/>
    <w:rsid w:val="00E661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librerie.unicatt.it/scheda-libro/autori-vari/brand-renaissance-nuove-tecniche-per-rivoluzionare-la-comunicazione-organizzativa-9788891799302-684873.html" TargetMode="External"/><Relationship Id="rId3" Type="http://schemas.openxmlformats.org/officeDocument/2006/relationships/settings" Target="settings.xml"/><Relationship Id="rId7" Type="http://schemas.openxmlformats.org/officeDocument/2006/relationships/hyperlink" Target="https://librerie.unicatt.it/scheda-libro/autori-vari/guida-pratica-al-brand-reloading-tecniche-e-best-practice-per-rigenerare-la-marca-9788835163800-746022.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librerie.unicatt.it/scheda-libro/internal-branding-9788846487995-175021.html" TargetMode="External"/><Relationship Id="rId4" Type="http://schemas.openxmlformats.org/officeDocument/2006/relationships/webSettings" Target="webSettings.xml"/><Relationship Id="rId9" Type="http://schemas.openxmlformats.org/officeDocument/2006/relationships/hyperlink" Target="https://librerie.unicatt.it/scheda-libro/musso-patrizia/slow-brand-vincere-imparando-a-correre-piu-lentamente-9788891744562-246723.html"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Normal.dotm</Template>
  <TotalTime>5</TotalTime>
  <Pages>4</Pages>
  <Words>1404</Words>
  <Characters>8007</Characters>
  <Application>Microsoft Office Word</Application>
  <DocSecurity>0</DocSecurity>
  <Lines>66</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s-ufgu-01-mi</dc:creator>
  <cp:lastModifiedBy>Rolli Andrea</cp:lastModifiedBy>
  <cp:revision>5</cp:revision>
  <cp:lastPrinted>2003-03-27T09:42:00Z</cp:lastPrinted>
  <dcterms:created xsi:type="dcterms:W3CDTF">2025-06-01T10:36:00Z</dcterms:created>
  <dcterms:modified xsi:type="dcterms:W3CDTF">2026-07-16T07:34:00Z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U.C.S.C. MILANO</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