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ing1"/>
        <w:tabs>
          <w:tab w:val="clear" w:pos="720"/>
          <w:tab w:val="left" w:pos="120" w:leader="none"/>
          <w:tab w:val="left" w:pos="709" w:leader="none"/>
          <w:tab w:val="left" w:pos="1080" w:leader="none"/>
        </w:tabs>
        <w:spacing w:before="480" w:after="0"/>
        <w:ind w:right="2034"/>
        <w:rPr>
          <w:rFonts w:ascii="Times New Roman" w:hAnsi="Times New Roman" w:eastAsia="Times New Roman" w:cs="Times New Roman"/>
          <w:lang w:val="it-IT"/>
        </w:rPr>
      </w:pPr>
      <w:r>
        <w:rPr>
          <w:rFonts w:eastAsia="Times New Roman" w:cs="Times New Roman" w:ascii="Times New Roman" w:hAnsi="Times New Roman"/>
        </w:rPr>
        <w:tab/>
        <w:tab/>
      </w:r>
      <w:r>
        <w:rPr>
          <w:rFonts w:eastAsia="Times New Roman" w:cs="Times New Roman" w:ascii="Times New Roman" w:hAnsi="Times New Roman"/>
          <w:lang w:val="it-IT"/>
        </w:rPr>
        <w:t xml:space="preserve">Microstruttura ed Analisi della Liquidità dei Mercati Finanziari </w:t>
      </w:r>
      <w:bookmarkStart w:id="0" w:name="_GoBack"/>
      <w:bookmarkEnd w:id="0"/>
    </w:p>
    <w:p>
      <w:pPr>
        <w:pStyle w:val="Heading2"/>
        <w:tabs>
          <w:tab w:val="clear" w:pos="720"/>
          <w:tab w:val="left" w:pos="709" w:leader="none"/>
        </w:tabs>
        <w:ind w:firstLine="709" w:right="2034"/>
        <w:rPr>
          <w:rFonts w:ascii="Times New Roman" w:hAnsi="Times New Roman" w:eastAsia="Times New Roman" w:cs="Times New Roman"/>
          <w:lang w:val="it-IT"/>
        </w:rPr>
      </w:pPr>
      <w:r>
        <w:rPr>
          <w:rFonts w:eastAsia="Times New Roman" w:cs="Times New Roman" w:ascii="Times New Roman" w:hAnsi="Times New Roman"/>
          <w:lang w:val="it-IT"/>
        </w:rPr>
        <w:t>Prof. Luca Bagato</w:t>
      </w:r>
    </w:p>
    <w:p>
      <w:pPr>
        <w:pStyle w:val="Normal"/>
        <w:tabs>
          <w:tab w:val="left" w:pos="720" w:leader="none"/>
        </w:tabs>
        <w:spacing w:before="240" w:after="120"/>
        <w:ind w:left="709" w:right="2034"/>
        <w:rPr>
          <w:b/>
          <w:i/>
          <w:i/>
          <w:sz w:val="18"/>
          <w:szCs w:val="18"/>
          <w:lang w:val="it-IT"/>
        </w:rPr>
      </w:pPr>
      <w:r>
        <w:rPr>
          <w:b/>
          <w:i/>
          <w:sz w:val="18"/>
          <w:szCs w:val="18"/>
          <w:lang w:val="it-IT"/>
        </w:rPr>
        <w:t>OBIETTIVO DEL CORSO</w:t>
      </w:r>
    </w:p>
    <w:p>
      <w:pPr>
        <w:pStyle w:val="Normal"/>
        <w:ind w:left="709" w:right="2034"/>
        <w:jc w:val="both"/>
        <w:rPr>
          <w:b/>
          <w:i/>
          <w:i/>
          <w:sz w:val="14"/>
          <w:szCs w:val="14"/>
          <w:lang w:val="it-IT"/>
        </w:rPr>
      </w:pPr>
      <w:r>
        <w:rPr>
          <w:sz w:val="20"/>
          <w:szCs w:val="20"/>
          <w:lang w:val="it-IT"/>
        </w:rPr>
        <w:t>Il corso descrive la struttura dei mercati finanziari, gli operatori e le istituzioni operanti sulle diverse asset class con particolare focus su quelle coinvolte nei mercati obbligazionari siano essi over-the-counter o regolamentati, con operatività telefonica oppure elettronica.</w:t>
      </w:r>
    </w:p>
    <w:p>
      <w:pPr>
        <w:pStyle w:val="Normal"/>
        <w:ind w:left="709" w:right="2036"/>
        <w:jc w:val="both"/>
        <w:rPr>
          <w:sz w:val="20"/>
          <w:szCs w:val="20"/>
          <w:lang w:val="it-IT"/>
        </w:rPr>
      </w:pPr>
      <w:r>
        <w:rPr>
          <w:sz w:val="20"/>
          <w:szCs w:val="20"/>
          <w:lang w:val="it-IT"/>
        </w:rPr>
        <w:t xml:space="preserve">Il corso si propone di far conoscere allo studente la microstruttura dei mercati finanziari </w:t>
      </w:r>
    </w:p>
    <w:p>
      <w:pPr>
        <w:pStyle w:val="Normal"/>
        <w:ind w:left="709" w:right="2036"/>
        <w:jc w:val="both"/>
        <w:rPr>
          <w:sz w:val="20"/>
          <w:szCs w:val="20"/>
          <w:lang w:val="it-IT"/>
        </w:rPr>
      </w:pPr>
      <w:r>
        <w:rPr>
          <w:sz w:val="20"/>
          <w:szCs w:val="20"/>
          <w:lang w:val="it-IT"/>
        </w:rPr>
        <w:t>sia con spiegazioni teoriche che con l’ausilio di sessioni operative in aula trading, per arrivare a padroneggiare i concetti di funzionamento di un central limit order book (clob), degli schemi di market making (order driven e quote driven), dell’analisi della profondità e cambiamento di un book di negoziazione, del rischio di liquidità e degli effetti degli scambi in condizioni normali ed eccezionali sul bid-offer spread.</w:t>
      </w:r>
    </w:p>
    <w:p>
      <w:pPr>
        <w:pStyle w:val="Normal"/>
        <w:ind w:left="709" w:right="2036"/>
        <w:rPr>
          <w:b/>
          <w:i/>
          <w:i/>
          <w:sz w:val="14"/>
          <w:szCs w:val="14"/>
          <w:lang w:val="it-IT"/>
        </w:rPr>
      </w:pPr>
      <w:r>
        <w:rPr>
          <w:b/>
          <w:i/>
          <w:sz w:val="14"/>
          <w:szCs w:val="14"/>
          <w:lang w:val="it-IT"/>
        </w:rPr>
      </w:r>
    </w:p>
    <w:p>
      <w:pPr>
        <w:pStyle w:val="Normal"/>
        <w:ind w:left="709" w:right="2036"/>
        <w:rPr>
          <w:b/>
          <w:i/>
          <w:i/>
          <w:sz w:val="14"/>
          <w:szCs w:val="14"/>
          <w:lang w:val="it-IT"/>
        </w:rPr>
      </w:pPr>
      <w:r>
        <w:rPr>
          <w:b/>
          <w:i/>
          <w:sz w:val="14"/>
          <w:szCs w:val="14"/>
          <w:lang w:val="it-IT"/>
        </w:rPr>
        <w:t>RISULTATI DI APPRENDIMENTO</w:t>
      </w:r>
    </w:p>
    <w:p>
      <w:pPr>
        <w:pStyle w:val="Normal"/>
        <w:ind w:left="709" w:right="2036"/>
        <w:rPr>
          <w:bCs/>
          <w:iCs/>
          <w:sz w:val="20"/>
          <w:szCs w:val="20"/>
          <w:lang w:val="it-IT"/>
        </w:rPr>
      </w:pPr>
      <w:r>
        <w:rPr>
          <w:bCs/>
          <w:iCs/>
          <w:sz w:val="20"/>
          <w:szCs w:val="20"/>
          <w:lang w:val="it-IT"/>
        </w:rPr>
        <w:t>Al termine del corso gli studenti saranno in grado di:</w:t>
      </w:r>
    </w:p>
    <w:p>
      <w:pPr>
        <w:pStyle w:val="Normal"/>
        <w:ind w:left="709" w:right="2036"/>
        <w:rPr>
          <w:bCs/>
          <w:iCs/>
          <w:sz w:val="20"/>
          <w:szCs w:val="20"/>
          <w:lang w:val="it-IT"/>
        </w:rPr>
      </w:pPr>
      <w:r>
        <w:rPr>
          <w:bCs/>
          <w:iCs/>
          <w:sz w:val="20"/>
          <w:szCs w:val="20"/>
          <w:lang w:val="it-IT"/>
        </w:rPr>
        <w:t>-</w:t>
        <w:tab/>
        <w:t>conoscere i mercati finanziari elettronici e la loro organizzazione;</w:t>
      </w:r>
    </w:p>
    <w:p>
      <w:pPr>
        <w:pStyle w:val="ListParagraph"/>
        <w:numPr>
          <w:ilvl w:val="0"/>
          <w:numId w:val="2"/>
        </w:numPr>
        <w:ind w:hanging="740" w:left="1449" w:right="2036"/>
        <w:rPr>
          <w:bCs/>
          <w:iCs/>
          <w:sz w:val="20"/>
          <w:szCs w:val="20"/>
          <w:lang w:val="it-IT"/>
        </w:rPr>
      </w:pPr>
      <w:r>
        <w:rPr>
          <w:bCs/>
          <w:iCs/>
          <w:sz w:val="20"/>
          <w:szCs w:val="20"/>
          <w:lang w:val="it-IT"/>
        </w:rPr>
        <w:t>analizzare la tipologia degli ordini e la loro esecuzione anche in versione High Frequency Trading;</w:t>
      </w:r>
    </w:p>
    <w:p>
      <w:pPr>
        <w:pStyle w:val="ListParagraph"/>
        <w:numPr>
          <w:ilvl w:val="0"/>
          <w:numId w:val="2"/>
        </w:numPr>
        <w:ind w:hanging="740" w:left="1449" w:right="2036"/>
        <w:rPr>
          <w:bCs/>
          <w:iCs/>
          <w:sz w:val="20"/>
          <w:szCs w:val="20"/>
          <w:lang w:val="it-IT"/>
        </w:rPr>
      </w:pPr>
      <w:r>
        <w:rPr>
          <w:bCs/>
          <w:iCs/>
          <w:sz w:val="20"/>
          <w:szCs w:val="20"/>
          <w:lang w:val="it-IT"/>
        </w:rPr>
        <w:t>conoscere l’evoluzione dei mercati finanziari elettronici sia in chiave retail che istituzionale con particolare focus sui mercati quote driven e order driven della piattaforma di Borsa Italiana (Euronext Group) sia obbligazionari, sia azionari e derivati;</w:t>
      </w:r>
    </w:p>
    <w:p>
      <w:pPr>
        <w:pStyle w:val="ListParagraph"/>
        <w:numPr>
          <w:ilvl w:val="0"/>
          <w:numId w:val="2"/>
        </w:numPr>
        <w:ind w:hanging="740" w:left="1449" w:right="2036"/>
        <w:rPr>
          <w:bCs/>
          <w:iCs/>
          <w:sz w:val="20"/>
          <w:szCs w:val="20"/>
          <w:lang w:val="it-IT"/>
        </w:rPr>
      </w:pPr>
      <w:r>
        <w:rPr>
          <w:bCs/>
          <w:iCs/>
          <w:sz w:val="20"/>
          <w:szCs w:val="20"/>
          <w:lang w:val="it-IT"/>
        </w:rPr>
        <w:t>analizzare casi operativi gestendo correttamente la liquidità e monitorando l’evoluzione della best execution e del best market timing, sia in ottica di operatore che di regolatore/vigilante.</w:t>
      </w:r>
    </w:p>
    <w:p>
      <w:pPr>
        <w:pStyle w:val="Normal"/>
        <w:ind w:left="709" w:right="2036"/>
        <w:jc w:val="both"/>
        <w:rPr>
          <w:sz w:val="20"/>
          <w:szCs w:val="20"/>
          <w:lang w:val="it-IT"/>
        </w:rPr>
      </w:pPr>
      <w:r>
        <w:rPr>
          <w:sz w:val="20"/>
          <w:szCs w:val="20"/>
          <w:lang w:val="it-IT"/>
        </w:rPr>
      </w:r>
    </w:p>
    <w:p>
      <w:pPr>
        <w:pStyle w:val="Normal"/>
        <w:ind w:left="709" w:right="2036"/>
        <w:jc w:val="both"/>
        <w:rPr>
          <w:sz w:val="20"/>
          <w:szCs w:val="20"/>
          <w:lang w:val="it-IT"/>
        </w:rPr>
      </w:pPr>
      <w:r>
        <w:rPr>
          <w:sz w:val="20"/>
          <w:szCs w:val="20"/>
          <w:lang w:val="it-IT"/>
        </w:rPr>
      </w:r>
    </w:p>
    <w:p>
      <w:pPr>
        <w:pStyle w:val="Normal"/>
        <w:ind w:left="709" w:right="2036"/>
        <w:jc w:val="both"/>
        <w:rPr>
          <w:b/>
          <w:sz w:val="18"/>
          <w:szCs w:val="18"/>
        </w:rPr>
      </w:pPr>
      <w:r>
        <w:rPr>
          <w:b/>
          <w:i/>
          <w:sz w:val="18"/>
          <w:szCs w:val="18"/>
        </w:rPr>
        <w:t>PROGRAMMA DEL CORSO</w:t>
      </w:r>
    </w:p>
    <w:p>
      <w:pPr>
        <w:pStyle w:val="Normal"/>
        <w:tabs>
          <w:tab w:val="clear" w:pos="720"/>
          <w:tab w:val="left" w:pos="993" w:leader="none"/>
        </w:tabs>
        <w:ind w:right="2034"/>
        <w:jc w:val="both"/>
        <w:rPr>
          <w:sz w:val="20"/>
          <w:szCs w:val="20"/>
        </w:rPr>
      </w:pPr>
      <w:r>
        <w:rPr>
          <w:sz w:val="20"/>
          <w:szCs w:val="20"/>
        </w:rPr>
        <w:tab/>
        <w:tab/>
      </w:r>
    </w:p>
    <w:p>
      <w:pPr>
        <w:pStyle w:val="Normal"/>
        <w:numPr>
          <w:ilvl w:val="0"/>
          <w:numId w:val="1"/>
        </w:numPr>
        <w:tabs>
          <w:tab w:val="clear" w:pos="720"/>
          <w:tab w:val="left" w:pos="993" w:leader="none"/>
        </w:tabs>
        <w:ind w:hanging="0" w:left="709" w:right="2034"/>
        <w:jc w:val="both"/>
        <w:rPr>
          <w:sz w:val="20"/>
          <w:szCs w:val="20"/>
          <w:lang w:val="it-IT"/>
        </w:rPr>
      </w:pPr>
      <w:r>
        <w:rPr>
          <w:b/>
          <w:sz w:val="20"/>
          <w:szCs w:val="20"/>
          <w:lang w:val="it-IT"/>
        </w:rPr>
        <w:t>Introduzione: Istituzioni e Mercati Finanziari</w:t>
      </w:r>
      <w:r>
        <w:rPr>
          <w:sz w:val="20"/>
          <w:szCs w:val="20"/>
          <w:lang w:val="it-IT"/>
        </w:rPr>
        <w:t>_meccanismi di trading e order flows, liquidità, dinamiche di prezzo degli asset finanziari e principi basilari di intermediazione finanziaria.</w:t>
      </w:r>
    </w:p>
    <w:p>
      <w:pPr>
        <w:pStyle w:val="Normal"/>
        <w:numPr>
          <w:ilvl w:val="0"/>
          <w:numId w:val="1"/>
        </w:numPr>
        <w:tabs>
          <w:tab w:val="clear" w:pos="720"/>
          <w:tab w:val="left" w:pos="993" w:leader="none"/>
        </w:tabs>
        <w:ind w:hanging="0" w:left="709" w:right="2034"/>
        <w:jc w:val="both"/>
        <w:rPr>
          <w:sz w:val="20"/>
          <w:szCs w:val="20"/>
          <w:lang w:val="it-IT"/>
        </w:rPr>
      </w:pPr>
      <w:r>
        <w:rPr>
          <w:b/>
          <w:sz w:val="20"/>
          <w:szCs w:val="20"/>
          <w:lang w:val="it-IT"/>
        </w:rPr>
        <w:t>Mercati e ordini</w:t>
      </w:r>
      <w:r>
        <w:rPr>
          <w:sz w:val="20"/>
          <w:szCs w:val="20"/>
          <w:lang w:val="it-IT"/>
        </w:rPr>
        <w:t>: la formazione delle proposte di negoziazione(PDN), gli ordini e le procedure di accesso ai book di negoziazione, il ruolo del market maker e del broker e il modello sell side con o senza scorte di titoli.</w:t>
      </w:r>
    </w:p>
    <w:p>
      <w:pPr>
        <w:pStyle w:val="Normal"/>
        <w:numPr>
          <w:ilvl w:val="0"/>
          <w:numId w:val="1"/>
        </w:numPr>
        <w:tabs>
          <w:tab w:val="clear" w:pos="720"/>
          <w:tab w:val="left" w:pos="993" w:leader="none"/>
        </w:tabs>
        <w:ind w:hanging="0" w:left="709" w:right="2034"/>
        <w:jc w:val="both"/>
        <w:rPr>
          <w:bCs/>
          <w:sz w:val="20"/>
          <w:szCs w:val="20"/>
          <w:lang w:val="it-IT"/>
        </w:rPr>
      </w:pPr>
      <w:r>
        <w:rPr>
          <w:b/>
          <w:sz w:val="20"/>
          <w:szCs w:val="20"/>
          <w:lang w:val="it-IT"/>
        </w:rPr>
        <w:t xml:space="preserve">Analisi del bid/offer spread pesato per i volumi e dell’orizzonte di trading per giudicare la liquidabilità relativa di diversi assets: </w:t>
      </w:r>
      <w:r>
        <w:rPr>
          <w:bCs/>
          <w:sz w:val="20"/>
          <w:szCs w:val="20"/>
          <w:lang w:val="it-IT"/>
        </w:rPr>
        <w:t>esercitazione pratica in aula trading su book di trading reali per diversi strumenti finanziari e analisi di confronto.</w:t>
      </w:r>
    </w:p>
    <w:p>
      <w:pPr>
        <w:pStyle w:val="Normal"/>
        <w:numPr>
          <w:ilvl w:val="0"/>
          <w:numId w:val="1"/>
        </w:numPr>
        <w:tabs>
          <w:tab w:val="clear" w:pos="720"/>
          <w:tab w:val="left" w:pos="993" w:leader="none"/>
        </w:tabs>
        <w:ind w:hanging="0" w:left="709" w:right="2034"/>
        <w:jc w:val="both"/>
        <w:rPr>
          <w:sz w:val="20"/>
          <w:szCs w:val="20"/>
          <w:lang w:val="it-IT"/>
        </w:rPr>
      </w:pPr>
      <w:r>
        <w:rPr>
          <w:b/>
          <w:sz w:val="20"/>
          <w:szCs w:val="20"/>
          <w:lang w:val="it-IT"/>
        </w:rPr>
        <w:t>Mercati e trade-off tra rischi e regolamentazione</w:t>
      </w:r>
      <w:r>
        <w:rPr>
          <w:sz w:val="20"/>
          <w:szCs w:val="20"/>
          <w:lang w:val="it-IT"/>
        </w:rPr>
        <w:t>_mercati e regolamentazione (MifidII,Emir e Volcker Rule), bid-ask spread e rischi di esecuzione, di volatilità e di tempo. L’attività di trading algoritmco e gli high frequency traders.</w:t>
      </w:r>
    </w:p>
    <w:p>
      <w:pPr>
        <w:pStyle w:val="Normal"/>
        <w:numPr>
          <w:ilvl w:val="0"/>
          <w:numId w:val="1"/>
        </w:numPr>
        <w:tabs>
          <w:tab w:val="clear" w:pos="720"/>
          <w:tab w:val="left" w:pos="993" w:leader="none"/>
        </w:tabs>
        <w:ind w:hanging="0" w:left="709" w:right="2034"/>
        <w:jc w:val="both"/>
        <w:rPr>
          <w:sz w:val="20"/>
          <w:szCs w:val="20"/>
          <w:lang w:val="it-IT"/>
        </w:rPr>
      </w:pPr>
      <w:r>
        <w:rPr>
          <w:b/>
          <w:sz w:val="20"/>
          <w:szCs w:val="20"/>
          <w:lang w:val="it-IT"/>
        </w:rPr>
        <w:t>Mercati, frammentazione e trasparenza</w:t>
      </w:r>
      <w:r>
        <w:rPr>
          <w:sz w:val="20"/>
          <w:szCs w:val="20"/>
          <w:lang w:val="it-IT"/>
        </w:rPr>
        <w:t>_ liquidità e sua misurazione, la price discovery e le corporate policies. Asset pricing e bid-ask spread, liquidità e crisi:il crollo del 1987. il flash crash del 2010 e il crollo del Marzo 2020.</w:t>
      </w:r>
    </w:p>
    <w:p>
      <w:pPr>
        <w:pStyle w:val="Normal"/>
        <w:numPr>
          <w:ilvl w:val="0"/>
          <w:numId w:val="1"/>
        </w:numPr>
        <w:tabs>
          <w:tab w:val="clear" w:pos="720"/>
          <w:tab w:val="left" w:pos="993" w:leader="none"/>
        </w:tabs>
        <w:ind w:hanging="0" w:left="709" w:right="2034"/>
        <w:jc w:val="both"/>
        <w:rPr>
          <w:b/>
          <w:i/>
          <w:i/>
          <w:sz w:val="18"/>
          <w:szCs w:val="18"/>
          <w:lang w:val="it-IT"/>
        </w:rPr>
      </w:pPr>
      <w:r>
        <w:rPr>
          <w:b/>
          <w:sz w:val="20"/>
          <w:szCs w:val="20"/>
          <w:lang w:val="it-IT"/>
        </w:rPr>
        <w:t xml:space="preserve">Evoluzione  e microstruttura dei mercati obbligazionari: govies, corps e dei derivati di tasso: </w:t>
      </w:r>
      <w:r>
        <w:rPr>
          <w:sz w:val="20"/>
          <w:szCs w:val="20"/>
          <w:lang w:val="it-IT"/>
        </w:rPr>
        <w:t>_l’evoluzione degli scambi e degli operatori sui mercati obbligazionari principali e il caso della fragilità dei Treasuries durante la crisi pandemica della primavera del 2020.</w:t>
      </w:r>
    </w:p>
    <w:p>
      <w:pPr>
        <w:pStyle w:val="Normal"/>
        <w:numPr>
          <w:ilvl w:val="0"/>
          <w:numId w:val="1"/>
        </w:numPr>
        <w:tabs>
          <w:tab w:val="clear" w:pos="720"/>
          <w:tab w:val="left" w:pos="993" w:leader="none"/>
        </w:tabs>
        <w:ind w:hanging="0" w:left="709" w:right="2034"/>
        <w:jc w:val="both"/>
        <w:rPr>
          <w:bCs/>
          <w:i/>
          <w:i/>
          <w:sz w:val="18"/>
          <w:szCs w:val="18"/>
          <w:lang w:val="it-IT"/>
        </w:rPr>
      </w:pPr>
      <w:r>
        <w:rPr>
          <w:b/>
          <w:sz w:val="20"/>
          <w:szCs w:val="20"/>
          <w:lang w:val="it-IT"/>
        </w:rPr>
        <w:t xml:space="preserve">Evoluzione e  microstruttura dei mercati azionari: </w:t>
      </w:r>
      <w:r>
        <w:rPr>
          <w:bCs/>
          <w:sz w:val="20"/>
          <w:szCs w:val="20"/>
          <w:lang w:val="it-IT"/>
        </w:rPr>
        <w:t>cash e derivati, con particolare attenzione sulle logiche del market making e del brokerage, casi pratici e sintesi grafica finale.</w:t>
      </w:r>
    </w:p>
    <w:p>
      <w:pPr>
        <w:pStyle w:val="Normal"/>
        <w:keepNext w:val="true"/>
        <w:spacing w:before="240" w:after="120"/>
        <w:ind w:left="709" w:right="2036"/>
        <w:rPr>
          <w:b/>
          <w:i/>
          <w:i/>
          <w:sz w:val="18"/>
          <w:szCs w:val="18"/>
          <w:lang w:val="it-IT"/>
        </w:rPr>
      </w:pPr>
      <w:r>
        <w:rPr>
          <w:b/>
          <w:i/>
          <w:sz w:val="18"/>
          <w:szCs w:val="18"/>
          <w:lang w:val="it-IT"/>
        </w:rPr>
        <w:t>BIBLIOGRAFIA</w:t>
      </w:r>
    </w:p>
    <w:p>
      <w:pPr>
        <w:pStyle w:val="Normal"/>
        <w:keepNext w:val="true"/>
        <w:spacing w:before="240" w:after="120"/>
        <w:ind w:left="709" w:right="2036"/>
        <w:rPr>
          <w:b/>
          <w:i/>
          <w:i/>
          <w:sz w:val="18"/>
          <w:szCs w:val="18"/>
          <w:lang w:val="it-IT"/>
        </w:rPr>
      </w:pPr>
      <w:r>
        <w:rPr>
          <w:b/>
          <w:i/>
          <w:sz w:val="18"/>
          <w:szCs w:val="18"/>
          <w:lang w:val="it-IT"/>
        </w:rPr>
        <w:t>Testi di riferimento per tutti i punti:</w:t>
      </w:r>
    </w:p>
    <w:p>
      <w:pPr>
        <w:pStyle w:val="Normal"/>
        <w:ind w:firstLine="708" w:right="2034"/>
        <w:jc w:val="both"/>
        <w:rPr>
          <w:sz w:val="16"/>
          <w:szCs w:val="16"/>
          <w:lang w:val="it-IT"/>
        </w:rPr>
      </w:pPr>
      <w:r>
        <w:rPr>
          <w:sz w:val="16"/>
          <w:szCs w:val="16"/>
          <w:lang w:val="it-IT"/>
        </w:rPr>
        <w:t>P.PAIARDINI,</w:t>
      </w:r>
      <w:r>
        <w:rPr>
          <w:b/>
          <w:i/>
          <w:sz w:val="16"/>
          <w:szCs w:val="16"/>
          <w:lang w:val="it-IT"/>
        </w:rPr>
        <w:t>’La Microstruttura dei Mercati Finanziari</w:t>
      </w:r>
      <w:r>
        <w:rPr>
          <w:sz w:val="16"/>
          <w:szCs w:val="16"/>
          <w:lang w:val="it-IT"/>
        </w:rPr>
        <w:t xml:space="preserve"> </w:t>
      </w:r>
      <w:r>
        <w:rPr>
          <w:i/>
          <w:sz w:val="16"/>
          <w:szCs w:val="16"/>
          <w:lang w:val="it-IT"/>
        </w:rPr>
        <w:t xml:space="preserve"> ‘</w:t>
      </w:r>
      <w:r>
        <w:rPr>
          <w:sz w:val="16"/>
          <w:szCs w:val="16"/>
          <w:lang w:val="it-IT"/>
        </w:rPr>
        <w:t>, Giappichelli , 2021</w:t>
      </w:r>
    </w:p>
    <w:p>
      <w:pPr>
        <w:pStyle w:val="Normal"/>
        <w:ind w:firstLine="708" w:right="2034"/>
        <w:jc w:val="both"/>
        <w:rPr>
          <w:sz w:val="16"/>
          <w:szCs w:val="16"/>
        </w:rPr>
      </w:pPr>
      <w:r>
        <w:rPr>
          <w:sz w:val="16"/>
          <w:szCs w:val="16"/>
        </w:rPr>
        <w:t>C-A. LEHALLE, S.LAURELLE, ’</w:t>
      </w:r>
      <w:r>
        <w:rPr>
          <w:b/>
          <w:i/>
          <w:sz w:val="16"/>
          <w:szCs w:val="16"/>
        </w:rPr>
        <w:t xml:space="preserve">Market Microstructure’, </w:t>
      </w:r>
      <w:r>
        <w:rPr>
          <w:sz w:val="16"/>
          <w:szCs w:val="16"/>
        </w:rPr>
        <w:t>World Scientific Publishing, 2014</w:t>
      </w:r>
    </w:p>
    <w:p>
      <w:pPr>
        <w:pStyle w:val="Normal"/>
        <w:ind w:firstLine="708" w:right="2034"/>
        <w:jc w:val="both"/>
        <w:rPr>
          <w:sz w:val="16"/>
          <w:szCs w:val="16"/>
        </w:rPr>
      </w:pPr>
      <w:r>
        <w:rPr>
          <w:sz w:val="16"/>
          <w:szCs w:val="16"/>
        </w:rPr>
      </w:r>
    </w:p>
    <w:p>
      <w:pPr>
        <w:pStyle w:val="Normal"/>
        <w:spacing w:lineRule="auto" w:line="218"/>
        <w:ind w:left="709" w:right="2034"/>
        <w:jc w:val="both"/>
        <w:rPr>
          <w:b/>
          <w:sz w:val="18"/>
          <w:szCs w:val="18"/>
        </w:rPr>
      </w:pPr>
      <w:r>
        <w:rPr>
          <w:b/>
          <w:sz w:val="18"/>
          <w:szCs w:val="18"/>
        </w:rPr>
      </w:r>
      <w:bookmarkStart w:id="1" w:name="_gjdgxs"/>
      <w:bookmarkStart w:id="2" w:name="_gjdgxs"/>
      <w:bookmarkEnd w:id="2"/>
    </w:p>
    <w:p>
      <w:pPr>
        <w:pStyle w:val="Normal"/>
        <w:spacing w:lineRule="auto" w:line="218"/>
        <w:ind w:left="709" w:right="2034"/>
        <w:jc w:val="both"/>
        <w:rPr>
          <w:b/>
          <w:sz w:val="18"/>
          <w:szCs w:val="18"/>
          <w:lang w:val="it-IT"/>
        </w:rPr>
      </w:pPr>
      <w:r>
        <w:rPr>
          <w:b/>
          <w:sz w:val="18"/>
          <w:szCs w:val="18"/>
          <w:lang w:val="it-IT"/>
        </w:rPr>
        <w:t>Per il punto 1</w:t>
      </w:r>
    </w:p>
    <w:p>
      <w:pPr>
        <w:pStyle w:val="Normal"/>
        <w:ind w:firstLine="708" w:right="2034"/>
        <w:jc w:val="both"/>
        <w:rPr>
          <w:sz w:val="16"/>
          <w:szCs w:val="16"/>
          <w:lang w:val="it-IT"/>
        </w:rPr>
      </w:pPr>
      <w:r>
        <w:rPr>
          <w:sz w:val="16"/>
          <w:szCs w:val="16"/>
          <w:lang w:val="it-IT"/>
        </w:rPr>
        <w:t>F.MISHKIN, S.G.EAKINS, G.FORESTIERI,’</w:t>
      </w:r>
      <w:r>
        <w:rPr>
          <w:b/>
          <w:i/>
          <w:sz w:val="16"/>
          <w:szCs w:val="16"/>
          <w:lang w:val="it-IT"/>
        </w:rPr>
        <w:t>Istituzioni e Mercati Finanziari</w:t>
      </w:r>
      <w:r>
        <w:rPr>
          <w:i/>
          <w:sz w:val="16"/>
          <w:szCs w:val="16"/>
          <w:lang w:val="it-IT"/>
        </w:rPr>
        <w:t xml:space="preserve"> ‘</w:t>
      </w:r>
      <w:r>
        <w:rPr>
          <w:sz w:val="16"/>
          <w:szCs w:val="16"/>
          <w:lang w:val="it-IT"/>
        </w:rPr>
        <w:t>, Pearson , 2015</w:t>
      </w:r>
    </w:p>
    <w:p>
      <w:pPr>
        <w:pStyle w:val="Normal"/>
        <w:ind w:firstLine="708" w:right="2034"/>
        <w:jc w:val="both"/>
        <w:rPr>
          <w:sz w:val="16"/>
          <w:szCs w:val="16"/>
          <w:lang w:val="it-IT"/>
        </w:rPr>
      </w:pPr>
      <w:r>
        <w:rPr>
          <w:sz w:val="16"/>
          <w:szCs w:val="16"/>
          <w:lang w:val="it-IT"/>
        </w:rPr>
        <w:t>Materiale del docente , dispenza e siti web rilevanti.</w:t>
      </w:r>
    </w:p>
    <w:p>
      <w:pPr>
        <w:pStyle w:val="Normal"/>
        <w:ind w:firstLine="708" w:right="2034"/>
        <w:jc w:val="both"/>
        <w:rPr>
          <w:sz w:val="16"/>
          <w:szCs w:val="16"/>
        </w:rPr>
      </w:pPr>
      <w:r>
        <w:rPr>
          <w:sz w:val="16"/>
          <w:szCs w:val="16"/>
        </w:rPr>
        <w:t>C-A. LEHALLE, S.LAURELLE, ’</w:t>
      </w:r>
      <w:r>
        <w:rPr>
          <w:b/>
          <w:i/>
          <w:sz w:val="16"/>
          <w:szCs w:val="16"/>
        </w:rPr>
        <w:t xml:space="preserve">Market Microstructure’, </w:t>
      </w:r>
      <w:r>
        <w:rPr>
          <w:sz w:val="16"/>
          <w:szCs w:val="16"/>
        </w:rPr>
        <w:t>World Scientific Publishing, 2014</w:t>
      </w:r>
    </w:p>
    <w:p>
      <w:pPr>
        <w:pStyle w:val="Normal"/>
        <w:ind w:firstLine="708" w:right="2034"/>
        <w:jc w:val="both"/>
        <w:rPr>
          <w:sz w:val="16"/>
          <w:szCs w:val="16"/>
        </w:rPr>
      </w:pPr>
      <w:r>
        <w:rPr>
          <w:sz w:val="16"/>
          <w:szCs w:val="16"/>
        </w:rPr>
      </w:r>
    </w:p>
    <w:p>
      <w:pPr>
        <w:pStyle w:val="Normal"/>
        <w:ind w:firstLine="708" w:right="2034"/>
        <w:jc w:val="both"/>
        <w:rPr>
          <w:sz w:val="16"/>
          <w:szCs w:val="16"/>
        </w:rPr>
      </w:pPr>
      <w:r>
        <w:rPr>
          <w:sz w:val="16"/>
          <w:szCs w:val="16"/>
        </w:rPr>
      </w:r>
    </w:p>
    <w:p>
      <w:pPr>
        <w:pStyle w:val="Normal"/>
        <w:spacing w:lineRule="auto" w:line="218"/>
        <w:ind w:left="709" w:right="2034"/>
        <w:jc w:val="both"/>
        <w:rPr>
          <w:b/>
          <w:sz w:val="18"/>
          <w:szCs w:val="18"/>
          <w:lang w:val="it-IT"/>
        </w:rPr>
      </w:pPr>
      <w:r>
        <w:rPr>
          <w:b/>
          <w:sz w:val="18"/>
          <w:szCs w:val="18"/>
          <w:lang w:val="it-IT"/>
        </w:rPr>
        <w:t>Per il punto 2</w:t>
      </w:r>
    </w:p>
    <w:p>
      <w:pPr>
        <w:pStyle w:val="Normal"/>
        <w:ind w:firstLine="708" w:right="2034"/>
        <w:jc w:val="both"/>
        <w:rPr>
          <w:sz w:val="16"/>
          <w:szCs w:val="16"/>
          <w:lang w:val="it-IT"/>
        </w:rPr>
      </w:pPr>
      <w:r>
        <w:rPr>
          <w:sz w:val="16"/>
          <w:szCs w:val="16"/>
          <w:lang w:val="it-IT"/>
        </w:rPr>
        <w:t>F.MISHKIN, S.G.EAKINS, G.FORESTIERI,’</w:t>
      </w:r>
      <w:r>
        <w:rPr>
          <w:b/>
          <w:i/>
          <w:sz w:val="16"/>
          <w:szCs w:val="16"/>
          <w:lang w:val="it-IT"/>
        </w:rPr>
        <w:t>Istituzioni e Mercati Finanziari</w:t>
      </w:r>
      <w:r>
        <w:rPr>
          <w:i/>
          <w:sz w:val="16"/>
          <w:szCs w:val="16"/>
          <w:lang w:val="it-IT"/>
        </w:rPr>
        <w:t xml:space="preserve"> ‘</w:t>
      </w:r>
      <w:r>
        <w:rPr>
          <w:sz w:val="16"/>
          <w:szCs w:val="16"/>
          <w:lang w:val="it-IT"/>
        </w:rPr>
        <w:t>, Pearson , 2015</w:t>
      </w:r>
    </w:p>
    <w:p>
      <w:pPr>
        <w:pStyle w:val="Normal"/>
        <w:ind w:firstLine="708" w:right="2034"/>
        <w:jc w:val="both"/>
        <w:rPr>
          <w:sz w:val="16"/>
          <w:szCs w:val="16"/>
        </w:rPr>
      </w:pPr>
      <w:r>
        <w:rPr>
          <w:sz w:val="16"/>
          <w:szCs w:val="16"/>
        </w:rPr>
        <w:t>C-A. LEHALLE, S.LAURELLE, ’</w:t>
      </w:r>
      <w:r>
        <w:rPr>
          <w:b/>
          <w:i/>
          <w:sz w:val="16"/>
          <w:szCs w:val="16"/>
        </w:rPr>
        <w:t xml:space="preserve">Market Microstructure’, </w:t>
      </w:r>
      <w:r>
        <w:rPr>
          <w:sz w:val="16"/>
          <w:szCs w:val="16"/>
        </w:rPr>
        <w:t>World Scientific Publishing, 2014</w:t>
      </w:r>
    </w:p>
    <w:p>
      <w:pPr>
        <w:pStyle w:val="Normal"/>
        <w:ind w:firstLine="708" w:right="2034"/>
        <w:jc w:val="both"/>
        <w:rPr>
          <w:sz w:val="16"/>
          <w:szCs w:val="16"/>
          <w:lang w:val="it-IT"/>
        </w:rPr>
      </w:pPr>
      <w:r>
        <w:rPr>
          <w:sz w:val="16"/>
          <w:szCs w:val="16"/>
          <w:lang w:val="it-IT"/>
        </w:rPr>
        <w:t>Materiale del docente , dispenza e siti web rilevanti.</w:t>
      </w:r>
    </w:p>
    <w:p>
      <w:pPr>
        <w:pStyle w:val="Normal"/>
        <w:spacing w:lineRule="auto" w:line="218"/>
        <w:ind w:left="709" w:right="2034"/>
        <w:jc w:val="both"/>
        <w:rPr>
          <w:b/>
          <w:sz w:val="18"/>
          <w:szCs w:val="18"/>
          <w:lang w:val="it-IT"/>
        </w:rPr>
      </w:pPr>
      <w:r>
        <w:rPr>
          <w:b/>
          <w:sz w:val="18"/>
          <w:szCs w:val="18"/>
          <w:lang w:val="it-IT"/>
        </w:rPr>
      </w:r>
    </w:p>
    <w:p>
      <w:pPr>
        <w:pStyle w:val="Normal"/>
        <w:spacing w:lineRule="auto" w:line="218"/>
        <w:ind w:left="709" w:right="2034"/>
        <w:jc w:val="both"/>
        <w:rPr>
          <w:b/>
          <w:sz w:val="18"/>
          <w:szCs w:val="18"/>
        </w:rPr>
      </w:pPr>
      <w:r>
        <w:rPr>
          <w:b/>
          <w:sz w:val="18"/>
          <w:szCs w:val="18"/>
        </w:rPr>
        <w:t>Per il punto 3</w:t>
      </w:r>
    </w:p>
    <w:p>
      <w:pPr>
        <w:pStyle w:val="Normal"/>
        <w:ind w:firstLine="708" w:right="2034"/>
        <w:jc w:val="both"/>
        <w:rPr>
          <w:sz w:val="16"/>
          <w:szCs w:val="16"/>
        </w:rPr>
      </w:pPr>
      <w:r>
        <w:rPr>
          <w:sz w:val="16"/>
          <w:szCs w:val="16"/>
        </w:rPr>
        <w:t>J.VAANANEN, ,</w:t>
      </w:r>
      <w:r>
        <w:rPr>
          <w:b/>
          <w:i/>
          <w:sz w:val="16"/>
          <w:szCs w:val="16"/>
        </w:rPr>
        <w:t>’Dark Pools&amp;High Frequ</w:t>
      </w:r>
      <w:r>
        <w:rPr>
          <w:b/>
          <w:i/>
          <w:sz w:val="16"/>
          <w:szCs w:val="16"/>
        </w:rPr>
        <w:t>e</w:t>
      </w:r>
      <w:r>
        <w:rPr>
          <w:b/>
          <w:i/>
          <w:sz w:val="16"/>
          <w:szCs w:val="16"/>
        </w:rPr>
        <w:t>ncy Trading for Dummies’</w:t>
      </w:r>
      <w:r>
        <w:rPr>
          <w:sz w:val="16"/>
          <w:szCs w:val="16"/>
        </w:rPr>
        <w:t xml:space="preserve"> ‘, Wiley and Sons  , 2015</w:t>
      </w:r>
    </w:p>
    <w:p>
      <w:pPr>
        <w:pStyle w:val="Normal"/>
        <w:spacing w:lineRule="auto" w:line="218"/>
        <w:ind w:left="709" w:right="2034"/>
        <w:jc w:val="both"/>
        <w:rPr>
          <w:b/>
          <w:sz w:val="18"/>
          <w:szCs w:val="18"/>
        </w:rPr>
      </w:pPr>
      <w:r>
        <w:rPr>
          <w:b/>
          <w:sz w:val="18"/>
          <w:szCs w:val="18"/>
        </w:rPr>
      </w:r>
    </w:p>
    <w:p>
      <w:pPr>
        <w:pStyle w:val="Normal"/>
        <w:spacing w:lineRule="auto" w:line="218"/>
        <w:ind w:left="709" w:right="2034"/>
        <w:jc w:val="both"/>
        <w:rPr>
          <w:b/>
          <w:sz w:val="18"/>
          <w:szCs w:val="18"/>
          <w:lang w:val="it-IT"/>
        </w:rPr>
      </w:pPr>
      <w:r>
        <w:rPr>
          <w:b/>
          <w:sz w:val="18"/>
          <w:szCs w:val="18"/>
          <w:lang w:val="it-IT"/>
        </w:rPr>
        <w:t>Per il punto 4,5 e 6</w:t>
      </w:r>
    </w:p>
    <w:p>
      <w:pPr>
        <w:pStyle w:val="Normal"/>
        <w:ind w:firstLine="708" w:right="2034"/>
        <w:jc w:val="both"/>
        <w:rPr>
          <w:sz w:val="16"/>
          <w:szCs w:val="16"/>
          <w:lang w:val="it-IT"/>
        </w:rPr>
      </w:pPr>
      <w:r>
        <w:rPr>
          <w:sz w:val="16"/>
          <w:szCs w:val="16"/>
          <w:lang w:val="it-IT"/>
        </w:rPr>
        <w:t>F.MISHKIN, S.G.EAKINS, G.FORESTIERI,’</w:t>
      </w:r>
      <w:r>
        <w:rPr>
          <w:b/>
          <w:i/>
          <w:sz w:val="16"/>
          <w:szCs w:val="16"/>
          <w:lang w:val="it-IT"/>
        </w:rPr>
        <w:t>Istituzioni e Mercati Finanziari</w:t>
      </w:r>
      <w:r>
        <w:rPr>
          <w:i/>
          <w:sz w:val="16"/>
          <w:szCs w:val="16"/>
          <w:lang w:val="it-IT"/>
        </w:rPr>
        <w:t xml:space="preserve"> ‘</w:t>
      </w:r>
      <w:r>
        <w:rPr>
          <w:sz w:val="16"/>
          <w:szCs w:val="16"/>
          <w:lang w:val="it-IT"/>
        </w:rPr>
        <w:t>, Pearson , 2015</w:t>
      </w:r>
    </w:p>
    <w:p>
      <w:pPr>
        <w:pStyle w:val="Normal"/>
        <w:ind w:right="2034"/>
        <w:jc w:val="both"/>
        <w:rPr>
          <w:sz w:val="16"/>
          <w:szCs w:val="16"/>
          <w:lang w:val="it-IT"/>
        </w:rPr>
      </w:pPr>
      <w:r>
        <w:rPr>
          <w:sz w:val="16"/>
          <w:szCs w:val="16"/>
          <w:lang w:val="it-IT"/>
        </w:rPr>
      </w:r>
    </w:p>
    <w:p>
      <w:pPr>
        <w:pStyle w:val="Normal"/>
        <w:ind w:firstLine="708" w:right="2034"/>
        <w:jc w:val="both"/>
        <w:rPr>
          <w:sz w:val="16"/>
          <w:szCs w:val="16"/>
        </w:rPr>
      </w:pPr>
      <w:r>
        <w:rPr>
          <w:sz w:val="16"/>
          <w:szCs w:val="16"/>
        </w:rPr>
        <w:t>T.FOCAULT,M.PAGANO,A:ROELL,’</w:t>
      </w:r>
      <w:r>
        <w:rPr>
          <w:b/>
          <w:i/>
          <w:sz w:val="16"/>
          <w:szCs w:val="16"/>
        </w:rPr>
        <w:t>Market Liquidity:theory,evidence and policy</w:t>
      </w:r>
      <w:r>
        <w:rPr>
          <w:i/>
          <w:sz w:val="16"/>
          <w:szCs w:val="16"/>
        </w:rPr>
        <w:t>‘</w:t>
      </w:r>
      <w:r>
        <w:rPr>
          <w:sz w:val="16"/>
          <w:szCs w:val="16"/>
        </w:rPr>
        <w:t>, Oxford Univ.Press,2013</w:t>
      </w:r>
    </w:p>
    <w:p>
      <w:pPr>
        <w:pStyle w:val="Normal"/>
        <w:ind w:firstLine="708" w:right="2034"/>
        <w:jc w:val="both"/>
        <w:rPr>
          <w:sz w:val="16"/>
          <w:szCs w:val="16"/>
        </w:rPr>
      </w:pPr>
      <w:r>
        <w:rPr>
          <w:sz w:val="16"/>
          <w:szCs w:val="16"/>
        </w:rPr>
        <w:t>C-A. LEHALLE, S.LAURELLE, ’</w:t>
      </w:r>
      <w:r>
        <w:rPr>
          <w:b/>
          <w:i/>
          <w:sz w:val="16"/>
          <w:szCs w:val="16"/>
        </w:rPr>
        <w:t xml:space="preserve">Market Microstructure’, </w:t>
      </w:r>
      <w:r>
        <w:rPr>
          <w:sz w:val="16"/>
          <w:szCs w:val="16"/>
        </w:rPr>
        <w:t>World Scientific Publishing, 2014</w:t>
      </w:r>
    </w:p>
    <w:p>
      <w:pPr>
        <w:pStyle w:val="Normal"/>
        <w:ind w:firstLine="708" w:right="2034"/>
        <w:jc w:val="both"/>
        <w:rPr>
          <w:sz w:val="16"/>
          <w:szCs w:val="16"/>
        </w:rPr>
      </w:pPr>
      <w:r>
        <w:rPr>
          <w:sz w:val="16"/>
          <w:szCs w:val="16"/>
        </w:rPr>
      </w:r>
    </w:p>
    <w:p>
      <w:pPr>
        <w:pStyle w:val="Normal"/>
        <w:ind w:firstLine="708" w:right="2034"/>
        <w:jc w:val="both"/>
        <w:rPr>
          <w:sz w:val="16"/>
          <w:szCs w:val="16"/>
        </w:rPr>
      </w:pPr>
      <w:r>
        <w:rPr>
          <w:sz w:val="16"/>
          <w:szCs w:val="16"/>
        </w:rPr>
      </w:r>
    </w:p>
    <w:p>
      <w:pPr>
        <w:pStyle w:val="Normal"/>
        <w:spacing w:lineRule="auto" w:line="218"/>
        <w:ind w:left="709" w:right="2034"/>
        <w:jc w:val="both"/>
        <w:rPr>
          <w:b/>
          <w:sz w:val="18"/>
          <w:szCs w:val="18"/>
          <w:lang w:val="en-GB"/>
        </w:rPr>
      </w:pPr>
      <w:r>
        <w:rPr>
          <w:b/>
          <w:sz w:val="18"/>
          <w:szCs w:val="18"/>
          <w:lang w:val="en-GB"/>
        </w:rPr>
        <w:t>Per il punto 7</w:t>
      </w:r>
    </w:p>
    <w:p>
      <w:pPr>
        <w:pStyle w:val="Normal"/>
        <w:ind w:left="708" w:right="2034"/>
        <w:jc w:val="both"/>
        <w:rPr>
          <w:sz w:val="16"/>
          <w:szCs w:val="16"/>
          <w:lang w:val="en-GB"/>
        </w:rPr>
      </w:pPr>
      <w:r>
        <w:rPr>
          <w:sz w:val="16"/>
          <w:szCs w:val="16"/>
          <w:lang w:val="en-GB"/>
        </w:rPr>
        <w:t>B.</w:t>
      </w:r>
      <w:r>
        <w:rPr>
          <w:sz w:val="16"/>
          <w:szCs w:val="16"/>
        </w:rPr>
        <w:t xml:space="preserve">JOHNSON, </w:t>
      </w:r>
      <w:r>
        <w:rPr>
          <w:i/>
          <w:iCs/>
          <w:sz w:val="16"/>
          <w:szCs w:val="16"/>
        </w:rPr>
        <w:t xml:space="preserve">‘ </w:t>
      </w:r>
      <w:r>
        <w:rPr>
          <w:b/>
          <w:bCs/>
          <w:i/>
          <w:iCs/>
          <w:sz w:val="16"/>
          <w:szCs w:val="16"/>
        </w:rPr>
        <w:t>Algorithmic Trading &amp; DMA, an introduction to direct access trading strategies’</w:t>
      </w:r>
      <w:r>
        <w:rPr>
          <w:sz w:val="16"/>
          <w:szCs w:val="16"/>
        </w:rPr>
        <w:t>, 4Myeloma</w:t>
      </w:r>
      <w:r>
        <w:rPr>
          <w:sz w:val="16"/>
          <w:szCs w:val="16"/>
          <w:lang w:val="en-GB"/>
        </w:rPr>
        <w:t xml:space="preserve"> Press London, 2010</w:t>
      </w:r>
    </w:p>
    <w:p>
      <w:pPr>
        <w:pStyle w:val="Normal"/>
        <w:ind w:left="708" w:right="2034"/>
        <w:jc w:val="both"/>
        <w:rPr>
          <w:sz w:val="16"/>
          <w:szCs w:val="16"/>
          <w:lang w:val="en-GB"/>
        </w:rPr>
      </w:pPr>
      <w:r>
        <w:rPr>
          <w:sz w:val="16"/>
          <w:szCs w:val="16"/>
        </w:rPr>
        <w:t xml:space="preserve">M.DURBIN, </w:t>
      </w:r>
      <w:r>
        <w:rPr>
          <w:i/>
          <w:iCs/>
          <w:sz w:val="16"/>
          <w:szCs w:val="16"/>
        </w:rPr>
        <w:t xml:space="preserve">‘ </w:t>
      </w:r>
      <w:r>
        <w:rPr>
          <w:b/>
          <w:bCs/>
          <w:i/>
          <w:iCs/>
          <w:sz w:val="16"/>
          <w:szCs w:val="16"/>
        </w:rPr>
        <w:t xml:space="preserve">All About High Frequency Trading’, </w:t>
      </w:r>
      <w:r>
        <w:rPr>
          <w:sz w:val="16"/>
          <w:szCs w:val="16"/>
        </w:rPr>
        <w:t>MacGrawHill</w:t>
      </w:r>
      <w:r>
        <w:rPr>
          <w:sz w:val="16"/>
          <w:szCs w:val="16"/>
          <w:lang w:val="en-GB"/>
        </w:rPr>
        <w:t>, 2010</w:t>
      </w:r>
    </w:p>
    <w:p>
      <w:pPr>
        <w:pStyle w:val="Normal"/>
        <w:ind w:left="708" w:right="2034"/>
        <w:jc w:val="both"/>
        <w:rPr>
          <w:sz w:val="16"/>
          <w:szCs w:val="16"/>
          <w:lang w:val="en-GB"/>
        </w:rPr>
      </w:pPr>
      <w:r>
        <w:rPr>
          <w:sz w:val="16"/>
          <w:szCs w:val="16"/>
        </w:rPr>
        <w:t xml:space="preserve">M.DURBIN, </w:t>
      </w:r>
      <w:r>
        <w:rPr>
          <w:i/>
          <w:iCs/>
          <w:sz w:val="16"/>
          <w:szCs w:val="16"/>
        </w:rPr>
        <w:t xml:space="preserve">‘ </w:t>
      </w:r>
      <w:r>
        <w:rPr>
          <w:b/>
          <w:bCs/>
          <w:i/>
          <w:iCs/>
          <w:sz w:val="16"/>
          <w:szCs w:val="16"/>
        </w:rPr>
        <w:t xml:space="preserve">All About Derivatives’, </w:t>
      </w:r>
      <w:r>
        <w:rPr>
          <w:sz w:val="16"/>
          <w:szCs w:val="16"/>
        </w:rPr>
        <w:t>MacGrawHill</w:t>
      </w:r>
      <w:r>
        <w:rPr>
          <w:sz w:val="16"/>
          <w:szCs w:val="16"/>
          <w:lang w:val="en-GB"/>
        </w:rPr>
        <w:t>, 2011</w:t>
      </w:r>
    </w:p>
    <w:p>
      <w:pPr>
        <w:pStyle w:val="Normal"/>
        <w:ind w:left="708" w:right="2034"/>
        <w:jc w:val="both"/>
        <w:rPr>
          <w:sz w:val="16"/>
          <w:szCs w:val="16"/>
          <w:lang w:val="en-GB"/>
        </w:rPr>
      </w:pPr>
      <w:r>
        <w:rPr>
          <w:sz w:val="16"/>
          <w:szCs w:val="16"/>
          <w:lang w:val="en-GB"/>
        </w:rPr>
      </w:r>
    </w:p>
    <w:p>
      <w:pPr>
        <w:pStyle w:val="Normal"/>
        <w:ind w:left="720" w:right="2034"/>
        <w:jc w:val="both"/>
        <w:rPr>
          <w:sz w:val="16"/>
          <w:szCs w:val="16"/>
        </w:rPr>
      </w:pPr>
      <w:r>
        <w:rPr>
          <w:sz w:val="16"/>
          <w:szCs w:val="16"/>
        </w:rPr>
      </w:r>
    </w:p>
    <w:p>
      <w:pPr>
        <w:pStyle w:val="Normal"/>
        <w:ind w:left="708" w:right="2034"/>
        <w:jc w:val="both"/>
        <w:rPr>
          <w:sz w:val="18"/>
          <w:szCs w:val="18"/>
          <w:lang w:val="it-IT"/>
        </w:rPr>
      </w:pPr>
      <w:r>
        <w:rPr>
          <w:sz w:val="16"/>
          <w:szCs w:val="16"/>
          <w:lang w:val="it-IT"/>
        </w:rPr>
        <w:t>Il corso si avvale anche del materiale del docente e di navigazione su siti dedicati alle borse elettroniche più importanti.</w:t>
      </w:r>
    </w:p>
    <w:p>
      <w:pPr>
        <w:pStyle w:val="Normal"/>
        <w:spacing w:lineRule="auto" w:line="218"/>
        <w:ind w:left="709" w:right="2034"/>
        <w:jc w:val="both"/>
        <w:rPr>
          <w:b/>
          <w:smallCaps/>
          <w:sz w:val="16"/>
          <w:szCs w:val="16"/>
          <w:lang w:val="it-IT"/>
        </w:rPr>
      </w:pPr>
      <w:r>
        <w:rPr>
          <w:b/>
          <w:smallCaps/>
          <w:sz w:val="16"/>
          <w:szCs w:val="16"/>
          <w:lang w:val="it-IT"/>
        </w:rPr>
      </w:r>
    </w:p>
    <w:p>
      <w:pPr>
        <w:pStyle w:val="Normal"/>
        <w:spacing w:lineRule="auto" w:line="218"/>
        <w:ind w:left="709" w:right="2034"/>
        <w:jc w:val="both"/>
        <w:rPr>
          <w:b/>
          <w:sz w:val="18"/>
          <w:szCs w:val="18"/>
          <w:lang w:val="it-IT"/>
        </w:rPr>
      </w:pPr>
      <w:r>
        <w:rPr>
          <w:b/>
          <w:smallCaps/>
          <w:sz w:val="16"/>
          <w:szCs w:val="16"/>
          <w:lang w:val="it-IT"/>
        </w:rPr>
        <w:t>Aula Trading</w:t>
      </w:r>
    </w:p>
    <w:p>
      <w:pPr>
        <w:pStyle w:val="Normal"/>
        <w:spacing w:lineRule="auto" w:line="218"/>
        <w:ind w:left="709" w:right="2034"/>
        <w:jc w:val="both"/>
        <w:rPr>
          <w:sz w:val="18"/>
          <w:szCs w:val="18"/>
          <w:lang w:val="it-IT"/>
        </w:rPr>
      </w:pPr>
      <w:r>
        <w:rPr>
          <w:sz w:val="18"/>
          <w:szCs w:val="18"/>
          <w:lang w:val="it-IT"/>
        </w:rPr>
        <w:t>Esercitazioni sul sito di  Borsa Italiana:</w:t>
      </w:r>
    </w:p>
    <w:p>
      <w:pPr>
        <w:pStyle w:val="Normal"/>
        <w:spacing w:lineRule="auto" w:line="218"/>
        <w:ind w:left="709" w:right="2034"/>
        <w:jc w:val="both"/>
        <w:rPr>
          <w:sz w:val="18"/>
          <w:szCs w:val="18"/>
          <w:lang w:val="it-IT"/>
        </w:rPr>
      </w:pPr>
      <w:r>
        <w:rPr>
          <w:sz w:val="18"/>
          <w:szCs w:val="18"/>
          <w:lang w:val="it-IT"/>
        </w:rPr>
        <w:t>http://www.borsaitaliana.it</w:t>
      </w:r>
    </w:p>
    <w:p>
      <w:pPr>
        <w:pStyle w:val="Normal"/>
        <w:spacing w:lineRule="auto" w:line="218" w:before="240" w:after="120"/>
        <w:ind w:left="709" w:right="2034"/>
        <w:rPr>
          <w:b/>
          <w:i/>
          <w:i/>
          <w:sz w:val="18"/>
          <w:szCs w:val="18"/>
          <w:lang w:val="it-IT"/>
        </w:rPr>
      </w:pPr>
      <w:r>
        <w:rPr>
          <w:b/>
          <w:i/>
          <w:sz w:val="18"/>
          <w:szCs w:val="18"/>
          <w:lang w:val="it-IT"/>
        </w:rPr>
        <w:t>DIDATTICA DEL CORSO</w:t>
      </w:r>
    </w:p>
    <w:p>
      <w:pPr>
        <w:pStyle w:val="Normal"/>
        <w:spacing w:lineRule="auto" w:line="218"/>
        <w:ind w:left="709" w:right="2034"/>
        <w:jc w:val="both"/>
        <w:rPr>
          <w:sz w:val="18"/>
          <w:szCs w:val="18"/>
          <w:lang w:val="it-IT"/>
        </w:rPr>
      </w:pPr>
      <w:r>
        <w:rPr>
          <w:sz w:val="18"/>
          <w:szCs w:val="18"/>
          <w:lang w:val="it-IT"/>
        </w:rPr>
        <w:t>Lezioni in aula ed esercitazioni in aula Trading.</w:t>
      </w:r>
    </w:p>
    <w:p>
      <w:pPr>
        <w:pStyle w:val="Normal"/>
        <w:spacing w:lineRule="auto" w:line="218"/>
        <w:ind w:left="709" w:right="2034"/>
        <w:jc w:val="both"/>
        <w:rPr>
          <w:sz w:val="18"/>
          <w:szCs w:val="18"/>
          <w:lang w:val="it-IT"/>
        </w:rPr>
      </w:pPr>
      <w:r>
        <w:rPr>
          <w:sz w:val="18"/>
          <w:szCs w:val="18"/>
          <w:lang w:val="it-IT"/>
        </w:rPr>
        <w:t>Il corso  potrebbe avvalersi  anche della testimonianza diretta di esperti e professionisti del mondo della sell side, della buy side o delle piattaforme regolamentate. In aula trading verranno analizzate operativamente delle sessioni di trading reale sui mercati delle piattaforme del circuito Euronext –BorsaItaliana  per le obbligazioni: ETLX e MOT, per i derivati: IDEM e per gli ETF e per le azioni : MTA e BGEM; lo studente prenderà familiarità con le diverse tipologie di proposte di negoziazione (PDN), con l’organizzazione, le tempistiche, gli ordini e le procedure per l’accesso ai book di negoziazione tipici  delle sale operative professionali. E’ prevista la descrizione di casi specifici sugli argomenti trattati da cui poi trarre spunto per un eventuale assessment con accredito di punti per i soli frequentanti il corso con particolare attenzione alla liquidità degli scambi sul secondario dei corporate bonds, per l’Europa, dei Treasuries, per gli Stati Uniti e dei mercati azionari globali.</w:t>
      </w:r>
    </w:p>
    <w:p>
      <w:pPr>
        <w:pStyle w:val="Normal"/>
        <w:spacing w:lineRule="auto" w:line="218"/>
        <w:ind w:left="709" w:right="2034"/>
        <w:jc w:val="both"/>
        <w:rPr>
          <w:sz w:val="18"/>
          <w:szCs w:val="18"/>
          <w:lang w:val="it-IT"/>
        </w:rPr>
      </w:pPr>
      <w:r>
        <w:rPr>
          <w:sz w:val="18"/>
          <w:szCs w:val="18"/>
          <w:lang w:val="it-IT"/>
        </w:rPr>
      </w:r>
    </w:p>
    <w:p>
      <w:pPr>
        <w:pStyle w:val="Normal"/>
        <w:spacing w:lineRule="auto" w:line="218" w:before="240" w:after="120"/>
        <w:ind w:left="709" w:right="2034"/>
        <w:rPr>
          <w:b/>
          <w:i/>
          <w:i/>
          <w:sz w:val="18"/>
          <w:szCs w:val="18"/>
          <w:lang w:val="it-IT"/>
        </w:rPr>
      </w:pPr>
      <w:r>
        <w:rPr>
          <w:b/>
          <w:i/>
          <w:sz w:val="18"/>
          <w:szCs w:val="18"/>
          <w:lang w:val="it-IT"/>
        </w:rPr>
        <w:t>METODO DI VALUTAZIONE</w:t>
      </w:r>
    </w:p>
    <w:p>
      <w:pPr>
        <w:pStyle w:val="Normal"/>
        <w:spacing w:lineRule="auto" w:line="218"/>
        <w:ind w:left="709" w:right="2034"/>
        <w:jc w:val="both"/>
        <w:rPr>
          <w:sz w:val="18"/>
          <w:szCs w:val="18"/>
          <w:lang w:val="it-IT"/>
        </w:rPr>
      </w:pPr>
      <w:r>
        <w:rPr>
          <w:sz w:val="18"/>
          <w:szCs w:val="18"/>
          <w:lang w:val="it-IT"/>
        </w:rPr>
        <w:t>Esame scritto consistente in due parti: una dedicata alla teoria (2 domande) e una dedicata alla pratica (2 domande), la parte pratica può essere sostituita da uno o più Assesment durante il corso.</w:t>
      </w:r>
    </w:p>
    <w:p>
      <w:pPr>
        <w:pStyle w:val="Normal"/>
        <w:spacing w:lineRule="auto" w:line="218"/>
        <w:ind w:left="709" w:right="2034"/>
        <w:jc w:val="both"/>
        <w:rPr>
          <w:sz w:val="18"/>
          <w:szCs w:val="18"/>
          <w:lang w:val="it-IT"/>
        </w:rPr>
      </w:pPr>
      <w:r>
        <w:rPr>
          <w:sz w:val="18"/>
          <w:szCs w:val="18"/>
          <w:lang w:val="it-IT"/>
        </w:rPr>
        <w:t>Gli assessment contribuiscono per il 20% del voto finale e la prova scritta per l’80%.</w:t>
      </w:r>
    </w:p>
    <w:p>
      <w:pPr>
        <w:pStyle w:val="Normal"/>
        <w:spacing w:lineRule="auto" w:line="218"/>
        <w:ind w:left="709" w:right="2034"/>
        <w:jc w:val="both"/>
        <w:rPr>
          <w:sz w:val="18"/>
          <w:szCs w:val="18"/>
          <w:lang w:val="it-IT"/>
        </w:rPr>
      </w:pPr>
      <w:r>
        <w:rPr>
          <w:sz w:val="18"/>
          <w:szCs w:val="18"/>
          <w:lang w:val="it-IT"/>
        </w:rPr>
        <w:t>Durata dell’esame di 1 ora  con la parte teorica che vedrà lo studente rispondere a due domande sul contenuto del corso e con la parte pratica che vedrà lo studente cimentarsi con un commento su un articolo della stampa internazionale concernente la microstruttura dei mercati finanziari e uno dedicato ai calcoli di spessore e di profondità di un book di negoziazione in chiave dinamica.</w:t>
      </w:r>
    </w:p>
    <w:p>
      <w:pPr>
        <w:pStyle w:val="Normal"/>
        <w:spacing w:lineRule="auto" w:line="218"/>
        <w:ind w:left="709" w:right="2034"/>
        <w:jc w:val="both"/>
        <w:rPr>
          <w:sz w:val="18"/>
          <w:szCs w:val="18"/>
          <w:lang w:val="it-IT"/>
        </w:rPr>
      </w:pPr>
      <w:r>
        <w:rPr>
          <w:sz w:val="18"/>
          <w:szCs w:val="18"/>
          <w:lang w:val="it-IT"/>
        </w:rPr>
        <w:t>Nel corso dell’anno uno o più assessment permetteranno allo studente di maturare un punteggio pre-appello.</w:t>
      </w:r>
    </w:p>
    <w:p>
      <w:pPr>
        <w:pStyle w:val="Normal"/>
        <w:spacing w:lineRule="auto" w:line="218"/>
        <w:ind w:left="709" w:right="2034"/>
        <w:jc w:val="both"/>
        <w:rPr>
          <w:sz w:val="18"/>
          <w:szCs w:val="18"/>
          <w:lang w:val="it-IT"/>
        </w:rPr>
      </w:pPr>
      <w:r>
        <w:rPr/>
      </w:r>
    </w:p>
    <w:p>
      <w:pPr>
        <w:pStyle w:val="Normal"/>
        <w:spacing w:lineRule="auto" w:line="218"/>
        <w:ind w:left="709" w:right="2034"/>
        <w:jc w:val="both"/>
        <w:rPr>
          <w:sz w:val="18"/>
          <w:szCs w:val="18"/>
          <w:lang w:val="it-IT"/>
        </w:rPr>
      </w:pPr>
      <w:r>
        <w:rPr/>
      </w:r>
    </w:p>
    <w:p>
      <w:pPr>
        <w:pStyle w:val="Normal"/>
        <w:spacing w:lineRule="auto" w:line="218"/>
        <w:ind w:left="709" w:right="2034"/>
        <w:jc w:val="both"/>
        <w:rPr>
          <w:sz w:val="18"/>
          <w:szCs w:val="18"/>
          <w:lang w:val="it-IT"/>
        </w:rPr>
      </w:pPr>
      <w:r>
        <w:rPr/>
      </w:r>
    </w:p>
    <w:p>
      <w:pPr>
        <w:pStyle w:val="Normal"/>
        <w:spacing w:lineRule="auto" w:line="218"/>
        <w:ind w:left="709" w:right="2034"/>
        <w:jc w:val="both"/>
        <w:rPr>
          <w:sz w:val="18"/>
          <w:szCs w:val="18"/>
          <w:lang w:val="it-IT"/>
        </w:rPr>
      </w:pPr>
      <w:r>
        <w:rPr>
          <w:sz w:val="18"/>
          <w:szCs w:val="18"/>
          <w:lang w:val="it-IT"/>
        </w:rPr>
        <w:t>PREREQUISITI E LETTURE CONSIGLIATE</w:t>
      </w:r>
    </w:p>
    <w:p>
      <w:pPr>
        <w:pStyle w:val="Normal"/>
        <w:spacing w:lineRule="auto" w:line="218"/>
        <w:ind w:left="709" w:right="2034"/>
        <w:jc w:val="both"/>
        <w:rPr>
          <w:sz w:val="18"/>
          <w:szCs w:val="18"/>
          <w:lang w:val="it-IT"/>
        </w:rPr>
      </w:pPr>
      <w:r>
        <w:rPr>
          <w:sz w:val="18"/>
          <w:szCs w:val="18"/>
          <w:lang w:val="it-IT"/>
        </w:rPr>
        <w:t>Conoscenza dei mercati finanziari e dei loro attori: sell side, buy side e retail investors.</w:t>
      </w:r>
    </w:p>
    <w:p>
      <w:pPr>
        <w:pStyle w:val="Normal"/>
        <w:spacing w:lineRule="auto" w:line="218"/>
        <w:ind w:left="709" w:right="2034"/>
        <w:jc w:val="both"/>
        <w:rPr>
          <w:sz w:val="18"/>
          <w:szCs w:val="18"/>
          <w:lang w:val="it-IT"/>
        </w:rPr>
      </w:pPr>
      <w:r>
        <w:rPr>
          <w:sz w:val="18"/>
          <w:szCs w:val="18"/>
          <w:lang w:val="it-IT"/>
        </w:rPr>
        <w:t>Conoscenza degli stock exchanges e dei prodotti quotati</w:t>
      </w:r>
    </w:p>
    <w:p>
      <w:pPr>
        <w:pStyle w:val="Normal"/>
        <w:spacing w:lineRule="auto" w:line="218"/>
        <w:ind w:left="709" w:right="2034"/>
        <w:jc w:val="both"/>
        <w:rPr>
          <w:sz w:val="18"/>
          <w:szCs w:val="18"/>
          <w:lang w:val="it-IT"/>
        </w:rPr>
      </w:pPr>
      <w:r>
        <w:rPr/>
      </w:r>
    </w:p>
    <w:p>
      <w:pPr>
        <w:pStyle w:val="Normal"/>
        <w:spacing w:lineRule="auto" w:line="218"/>
        <w:ind w:left="709" w:right="2034"/>
        <w:jc w:val="both"/>
        <w:rPr>
          <w:sz w:val="18"/>
          <w:szCs w:val="18"/>
          <w:lang w:val="it-IT"/>
        </w:rPr>
      </w:pPr>
      <w:r>
        <w:rPr>
          <w:sz w:val="18"/>
          <w:szCs w:val="18"/>
          <w:lang w:val="it-IT"/>
        </w:rPr>
        <w:t>Letture consigliate prima del corso</w:t>
      </w:r>
    </w:p>
    <w:p>
      <w:pPr>
        <w:pStyle w:val="Normal"/>
        <w:spacing w:lineRule="auto" w:line="218"/>
        <w:ind w:left="709" w:right="2034"/>
        <w:jc w:val="both"/>
        <w:rPr>
          <w:sz w:val="18"/>
          <w:szCs w:val="18"/>
          <w:lang w:val="it-IT"/>
        </w:rPr>
      </w:pPr>
      <w:r>
        <w:rPr/>
      </w:r>
    </w:p>
    <w:p>
      <w:pPr>
        <w:pStyle w:val="Normal"/>
        <w:ind w:firstLine="708" w:right="2034"/>
        <w:jc w:val="both"/>
        <w:rPr>
          <w:sz w:val="16"/>
          <w:szCs w:val="16"/>
          <w:lang w:val="en-GB"/>
        </w:rPr>
      </w:pPr>
      <w:r>
        <w:rPr>
          <w:sz w:val="16"/>
          <w:szCs w:val="16"/>
          <w:lang w:val="en-GB"/>
        </w:rPr>
        <w:t>J.VAANANEN, ,’Dark Pools&amp;High Frequ</w:t>
      </w:r>
      <w:r>
        <w:rPr>
          <w:sz w:val="16"/>
          <w:szCs w:val="16"/>
          <w:lang w:val="en-GB"/>
        </w:rPr>
        <w:t>e</w:t>
      </w:r>
      <w:r>
        <w:rPr>
          <w:sz w:val="16"/>
          <w:szCs w:val="16"/>
          <w:lang w:val="en-GB"/>
        </w:rPr>
        <w:t>ncy Trading for Dummies’ ‘, Wiley and Sons  , 2015</w:t>
      </w:r>
    </w:p>
    <w:p>
      <w:pPr>
        <w:pStyle w:val="Normal"/>
        <w:spacing w:lineRule="auto" w:line="218"/>
        <w:ind w:left="709" w:right="2034"/>
        <w:jc w:val="both"/>
        <w:rPr/>
      </w:pPr>
      <w:r>
        <w:rPr>
          <w:b w:val="false"/>
          <w:bCs w:val="false"/>
          <w:sz w:val="18"/>
          <w:szCs w:val="18"/>
        </w:rPr>
        <w:t xml:space="preserve">M.LEWIS, </w:t>
      </w:r>
      <w:r>
        <w:rPr>
          <w:rFonts w:eastAsia="Times New Roman" w:cs="Times New Roman"/>
          <w:i/>
          <w:iCs/>
          <w:color w:val="000000"/>
          <w:kern w:val="0"/>
          <w:sz w:val="16"/>
          <w:szCs w:val="16"/>
          <w:lang w:val="en-GB" w:eastAsia="en-US" w:bidi="ar-SA"/>
        </w:rPr>
        <w:t>Flash Boys: a Wall Street Revolt</w:t>
      </w:r>
      <w:r>
        <w:rPr>
          <w:b w:val="false"/>
          <w:bCs w:val="false"/>
          <w:sz w:val="18"/>
          <w:szCs w:val="18"/>
        </w:rPr>
        <w:t xml:space="preserve">, </w:t>
      </w:r>
      <w:r>
        <w:rPr>
          <w:rFonts w:eastAsia="Times New Roman" w:cs="Times New Roman"/>
          <w:color w:val="000000"/>
          <w:kern w:val="0"/>
          <w:sz w:val="16"/>
          <w:szCs w:val="16"/>
          <w:lang w:val="en-GB" w:eastAsia="en-US" w:bidi="ar-SA"/>
        </w:rPr>
        <w:t>WW Norton&amp;Co, 2015</w:t>
      </w:r>
    </w:p>
    <w:p>
      <w:pPr>
        <w:pStyle w:val="Normal"/>
        <w:spacing w:lineRule="auto" w:line="218"/>
        <w:ind w:left="709" w:right="2034"/>
        <w:jc w:val="both"/>
        <w:rPr>
          <w:sz w:val="18"/>
          <w:szCs w:val="18"/>
        </w:rPr>
      </w:pPr>
      <w:r>
        <w:rPr>
          <w:sz w:val="18"/>
          <w:szCs w:val="18"/>
          <w:lang w:val="it-IT"/>
        </w:rPr>
        <w:t xml:space="preserve">B.BENZRICH, </w:t>
      </w:r>
      <w:r>
        <w:rPr>
          <w:rFonts w:eastAsia="Times New Roman" w:cs="Times New Roman"/>
          <w:i/>
          <w:iCs/>
          <w:color w:val="000000"/>
          <w:kern w:val="0"/>
          <w:sz w:val="16"/>
          <w:szCs w:val="16"/>
          <w:lang w:val="en-GB" w:eastAsia="en-US" w:bidi="ar-SA"/>
        </w:rPr>
        <w:t>The Antisocial Network</w:t>
      </w:r>
      <w:r>
        <w:rPr>
          <w:sz w:val="18"/>
          <w:szCs w:val="18"/>
          <w:lang w:val="it-IT"/>
        </w:rPr>
        <w:t xml:space="preserve">, </w:t>
      </w:r>
      <w:r>
        <w:rPr>
          <w:rFonts w:eastAsia="Times New Roman" w:cs="Times New Roman"/>
          <w:color w:val="000000"/>
          <w:kern w:val="0"/>
          <w:sz w:val="16"/>
          <w:szCs w:val="16"/>
          <w:lang w:val="en-GB" w:eastAsia="en-US" w:bidi="ar-SA"/>
        </w:rPr>
        <w:t>Harper Colllins, 2012</w:t>
      </w:r>
    </w:p>
    <w:p>
      <w:pPr>
        <w:pStyle w:val="Normal"/>
        <w:spacing w:lineRule="auto" w:line="218"/>
        <w:ind w:left="709" w:right="2034"/>
        <w:jc w:val="both"/>
        <w:rPr>
          <w:sz w:val="18"/>
          <w:szCs w:val="18"/>
          <w:lang w:val="it-IT"/>
        </w:rPr>
      </w:pPr>
      <w:r>
        <w:rPr/>
      </w:r>
    </w:p>
    <w:p>
      <w:pPr>
        <w:pStyle w:val="Normal"/>
        <w:spacing w:lineRule="auto" w:line="218"/>
        <w:ind w:left="709" w:right="2034"/>
        <w:jc w:val="both"/>
        <w:rPr>
          <w:sz w:val="18"/>
          <w:szCs w:val="18"/>
          <w:lang w:val="it-IT"/>
        </w:rPr>
      </w:pPr>
      <w:r>
        <w:rPr>
          <w:sz w:val="18"/>
          <w:szCs w:val="18"/>
          <w:lang w:val="it-IT"/>
        </w:rPr>
      </w:r>
    </w:p>
    <w:p>
      <w:pPr>
        <w:pStyle w:val="Normal"/>
        <w:ind w:left="709" w:right="2034"/>
        <w:jc w:val="both"/>
        <w:rPr>
          <w:rFonts w:ascii="Times" w:hAnsi="Times" w:eastAsia="Times" w:cs="Times"/>
          <w:sz w:val="18"/>
          <w:szCs w:val="18"/>
          <w:lang w:val="it-IT"/>
        </w:rPr>
      </w:pPr>
      <w:r>
        <w:rPr>
          <w:rFonts w:eastAsia="Times" w:cs="Times" w:ascii="Times" w:hAnsi="Times"/>
          <w:b/>
          <w:i/>
          <w:sz w:val="18"/>
          <w:szCs w:val="18"/>
          <w:lang w:val="it-IT"/>
        </w:rPr>
        <w:t>ORARIO E LUOGO DI RICEVIMENTO STUDENTI</w:t>
      </w:r>
    </w:p>
    <w:p>
      <w:pPr>
        <w:pStyle w:val="Normal"/>
        <w:ind w:left="709"/>
        <w:rPr>
          <w:sz w:val="18"/>
          <w:szCs w:val="18"/>
          <w:lang w:val="it-IT"/>
        </w:rPr>
      </w:pPr>
      <w:r>
        <w:rPr>
          <w:sz w:val="18"/>
          <w:szCs w:val="18"/>
          <w:lang w:val="it-IT"/>
        </w:rPr>
        <w:t>Gli orari di ricevimento sono disponibili on line nella pagina personale del docente, consultabile al sito</w:t>
      </w:r>
    </w:p>
    <w:p>
      <w:pPr>
        <w:pStyle w:val="Normal"/>
        <w:ind w:left="709"/>
        <w:rPr>
          <w:rFonts w:ascii="Times" w:hAnsi="Times" w:eastAsia="Times" w:cs="Times"/>
          <w:b/>
          <w:sz w:val="18"/>
          <w:szCs w:val="18"/>
          <w:lang w:val="it-IT"/>
        </w:rPr>
      </w:pPr>
      <w:r>
        <w:rPr>
          <w:sz w:val="18"/>
          <w:szCs w:val="18"/>
          <w:lang w:val="it-IT"/>
        </w:rPr>
        <w:t xml:space="preserve"> </w:t>
      </w:r>
      <w:hyperlink r:id="rId2">
        <w:r>
          <w:rPr>
            <w:rStyle w:val="Style3"/>
            <w:color w:val="0000FF"/>
            <w:sz w:val="18"/>
            <w:szCs w:val="18"/>
            <w:u w:val="single"/>
            <w:lang w:val="it-IT"/>
          </w:rPr>
          <w:t>http://docenti.unicatt.it/</w:t>
        </w:r>
      </w:hyperlink>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134" w:right="1134" w:gutter="0" w:header="0" w:top="1417" w:footer="72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Georgia">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firstLine="360"/>
      </w:pPr>
      <w:rPr/>
    </w:lvl>
    <w:lvl w:ilvl="1">
      <w:start w:val="1"/>
      <w:numFmt w:val="lowerLetter"/>
      <w:lvlText w:val="%2."/>
      <w:lvlJc w:val="left"/>
      <w:pPr>
        <w:tabs>
          <w:tab w:val="num" w:pos="0"/>
        </w:tabs>
        <w:ind w:left="1440" w:firstLine="1080"/>
      </w:pPr>
      <w:rPr/>
    </w:lvl>
    <w:lvl w:ilvl="2">
      <w:start w:val="1"/>
      <w:numFmt w:val="lowerRoman"/>
      <w:lvlText w:val="%3."/>
      <w:lvlJc w:val="right"/>
      <w:pPr>
        <w:tabs>
          <w:tab w:val="num" w:pos="0"/>
        </w:tabs>
        <w:ind w:left="2160" w:firstLine="1980"/>
      </w:pPr>
      <w:rPr/>
    </w:lvl>
    <w:lvl w:ilvl="3">
      <w:start w:val="1"/>
      <w:numFmt w:val="decimal"/>
      <w:lvlText w:val="%4."/>
      <w:lvlJc w:val="left"/>
      <w:pPr>
        <w:tabs>
          <w:tab w:val="num" w:pos="0"/>
        </w:tabs>
        <w:ind w:left="2880" w:firstLine="2520"/>
      </w:pPr>
      <w:rPr/>
    </w:lvl>
    <w:lvl w:ilvl="4">
      <w:start w:val="1"/>
      <w:numFmt w:val="lowerLetter"/>
      <w:lvlText w:val="%5."/>
      <w:lvlJc w:val="left"/>
      <w:pPr>
        <w:tabs>
          <w:tab w:val="num" w:pos="0"/>
        </w:tabs>
        <w:ind w:left="3600" w:firstLine="3240"/>
      </w:pPr>
      <w:rPr/>
    </w:lvl>
    <w:lvl w:ilvl="5">
      <w:start w:val="1"/>
      <w:numFmt w:val="lowerRoman"/>
      <w:lvlText w:val="%6."/>
      <w:lvlJc w:val="right"/>
      <w:pPr>
        <w:tabs>
          <w:tab w:val="num" w:pos="0"/>
        </w:tabs>
        <w:ind w:left="4320" w:firstLine="4140"/>
      </w:pPr>
      <w:rPr/>
    </w:lvl>
    <w:lvl w:ilvl="6">
      <w:start w:val="1"/>
      <w:numFmt w:val="decimal"/>
      <w:lvlText w:val="%7."/>
      <w:lvlJc w:val="left"/>
      <w:pPr>
        <w:tabs>
          <w:tab w:val="num" w:pos="0"/>
        </w:tabs>
        <w:ind w:left="5040" w:firstLine="4680"/>
      </w:pPr>
      <w:rPr/>
    </w:lvl>
    <w:lvl w:ilvl="7">
      <w:start w:val="1"/>
      <w:numFmt w:val="lowerLetter"/>
      <w:lvlText w:val="%8."/>
      <w:lvlJc w:val="left"/>
      <w:pPr>
        <w:tabs>
          <w:tab w:val="num" w:pos="0"/>
        </w:tabs>
        <w:ind w:left="5760" w:firstLine="5400"/>
      </w:pPr>
      <w:rPr/>
    </w:lvl>
    <w:lvl w:ilvl="8">
      <w:start w:val="1"/>
      <w:numFmt w:val="lowerRoman"/>
      <w:lvlText w:val="%9."/>
      <w:lvlJc w:val="right"/>
      <w:pPr>
        <w:tabs>
          <w:tab w:val="num" w:pos="0"/>
        </w:tabs>
        <w:ind w:left="6480" w:firstLine="6300"/>
      </w:pPr>
      <w:rPr/>
    </w:lvl>
  </w:abstractNum>
  <w:abstractNum w:abstractNumId="2">
    <w:lvl w:ilvl="0">
      <w:numFmt w:val="bullet"/>
      <w:lvlText w:val="-"/>
      <w:lvlJc w:val="left"/>
      <w:pPr>
        <w:tabs>
          <w:tab w:val="num" w:pos="0"/>
        </w:tabs>
        <w:ind w:left="1449" w:hanging="740"/>
      </w:pPr>
      <w:rPr>
        <w:rFonts w:ascii="Times New Roman" w:hAnsi="Times New Roman" w:cs="Times New Roman"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80"/>
  <w:displayBackgroundShape/>
  <w:defaultTabStop w:val="720"/>
  <w:autoHyphenation w:val="true"/>
  <w:hyphenationZone w:val="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color w:val="000000"/>
        <w:sz w:val="24"/>
        <w:szCs w:val="24"/>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87cb4"/>
    <w:pPr>
      <w:widowControl w:val="false"/>
      <w:suppressAutoHyphens w:val="true"/>
      <w:bidi w:val="0"/>
      <w:spacing w:before="0" w:after="0"/>
      <w:jc w:val="left"/>
    </w:pPr>
    <w:rPr>
      <w:rFonts w:ascii="Times New Roman" w:hAnsi="Times New Roman" w:eastAsia="Times New Roman" w:cs="Times New Roman"/>
      <w:color w:val="000000"/>
      <w:kern w:val="0"/>
      <w:sz w:val="24"/>
      <w:szCs w:val="24"/>
      <w:lang w:val="en-US" w:eastAsia="en-US" w:bidi="ar-SA"/>
    </w:rPr>
  </w:style>
  <w:style w:type="paragraph" w:styleId="Heading1">
    <w:name w:val="heading 1"/>
    <w:basedOn w:val="Normal"/>
    <w:next w:val="Normal"/>
    <w:qFormat/>
    <w:rsid w:val="00787cb4"/>
    <w:pPr>
      <w:spacing w:before="480" w:after="0"/>
      <w:outlineLvl w:val="0"/>
    </w:pPr>
    <w:rPr>
      <w:rFonts w:ascii="Times" w:hAnsi="Times" w:eastAsia="Times" w:cs="Times"/>
      <w:b/>
      <w:sz w:val="20"/>
      <w:szCs w:val="20"/>
    </w:rPr>
  </w:style>
  <w:style w:type="paragraph" w:styleId="Heading2">
    <w:name w:val="heading 2"/>
    <w:basedOn w:val="Normal"/>
    <w:next w:val="Normal"/>
    <w:qFormat/>
    <w:rsid w:val="00787cb4"/>
    <w:pPr>
      <w:outlineLvl w:val="1"/>
    </w:pPr>
    <w:rPr>
      <w:rFonts w:ascii="Times" w:hAnsi="Times" w:eastAsia="Times" w:cs="Times"/>
      <w:smallCaps/>
      <w:sz w:val="18"/>
      <w:szCs w:val="18"/>
    </w:rPr>
  </w:style>
  <w:style w:type="paragraph" w:styleId="Heading3">
    <w:name w:val="heading 3"/>
    <w:basedOn w:val="Normal"/>
    <w:next w:val="Normal"/>
    <w:qFormat/>
    <w:rsid w:val="00787cb4"/>
    <w:pPr>
      <w:spacing w:before="240" w:after="120"/>
      <w:outlineLvl w:val="2"/>
    </w:pPr>
    <w:rPr>
      <w:rFonts w:ascii="Times" w:hAnsi="Times" w:eastAsia="Times" w:cs="Times"/>
      <w:i/>
      <w:smallCaps/>
      <w:sz w:val="18"/>
      <w:szCs w:val="18"/>
    </w:rPr>
  </w:style>
  <w:style w:type="paragraph" w:styleId="Heading4">
    <w:name w:val="heading 4"/>
    <w:basedOn w:val="Normal"/>
    <w:next w:val="Normal"/>
    <w:qFormat/>
    <w:rsid w:val="00787cb4"/>
    <w:pPr>
      <w:keepNext w:val="true"/>
      <w:keepLines/>
      <w:spacing w:before="240" w:after="40"/>
      <w:contextualSpacing/>
      <w:outlineLvl w:val="3"/>
    </w:pPr>
    <w:rPr>
      <w:b/>
    </w:rPr>
  </w:style>
  <w:style w:type="paragraph" w:styleId="Heading5">
    <w:name w:val="heading 5"/>
    <w:basedOn w:val="Normal"/>
    <w:next w:val="Normal"/>
    <w:qFormat/>
    <w:rsid w:val="00787cb4"/>
    <w:pPr>
      <w:keepNext w:val="true"/>
      <w:keepLines/>
      <w:spacing w:before="220" w:after="40"/>
      <w:contextualSpacing/>
      <w:outlineLvl w:val="4"/>
    </w:pPr>
    <w:rPr>
      <w:b/>
      <w:sz w:val="22"/>
      <w:szCs w:val="22"/>
    </w:rPr>
  </w:style>
  <w:style w:type="paragraph" w:styleId="Heading6">
    <w:name w:val="heading 6"/>
    <w:basedOn w:val="Normal"/>
    <w:next w:val="Normal"/>
    <w:qFormat/>
    <w:rsid w:val="00787cb4"/>
    <w:pPr>
      <w:keepNext w:val="true"/>
      <w:keepLines/>
      <w:spacing w:before="200" w:after="40"/>
      <w:contextualSpacing/>
      <w:outlineLvl w:val="5"/>
    </w:pPr>
    <w:rPr>
      <w:b/>
      <w:sz w:val="20"/>
      <w:szCs w:val="2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f0016f"/>
    <w:rPr/>
  </w:style>
  <w:style w:type="character" w:styleId="PidipaginaCarattere" w:customStyle="1">
    <w:name w:val="Piè di pagina Carattere"/>
    <w:basedOn w:val="DefaultParagraphFont"/>
    <w:uiPriority w:val="99"/>
    <w:qFormat/>
    <w:rsid w:val="00f0016f"/>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Title">
    <w:name w:val="Title"/>
    <w:basedOn w:val="Normal"/>
    <w:next w:val="Normal"/>
    <w:qFormat/>
    <w:rsid w:val="00787cb4"/>
    <w:pPr>
      <w:keepNext w:val="true"/>
      <w:keepLines/>
      <w:spacing w:before="480" w:after="120"/>
      <w:contextualSpacing/>
    </w:pPr>
    <w:rPr>
      <w:b/>
      <w:sz w:val="72"/>
      <w:szCs w:val="72"/>
    </w:rPr>
  </w:style>
  <w:style w:type="paragraph" w:styleId="Subtitle">
    <w:name w:val="Subtitle"/>
    <w:basedOn w:val="Normal"/>
    <w:next w:val="Normal"/>
    <w:qFormat/>
    <w:rsid w:val="00787cb4"/>
    <w:pPr>
      <w:keepNext w:val="true"/>
      <w:keepLines/>
      <w:spacing w:before="360" w:after="80"/>
      <w:contextualSpacing/>
    </w:pPr>
    <w:rPr>
      <w:rFonts w:ascii="Georgia" w:hAnsi="Georgia" w:eastAsia="Georgia" w:cs="Georgia"/>
      <w:i/>
      <w:color w:val="666666"/>
      <w:sz w:val="48"/>
      <w:szCs w:val="48"/>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f0016f"/>
    <w:pPr>
      <w:tabs>
        <w:tab w:val="clear" w:pos="720"/>
        <w:tab w:val="center" w:pos="4513" w:leader="none"/>
        <w:tab w:val="right" w:pos="9026" w:leader="none"/>
      </w:tabs>
    </w:pPr>
    <w:rPr/>
  </w:style>
  <w:style w:type="paragraph" w:styleId="Footer">
    <w:name w:val="footer"/>
    <w:basedOn w:val="Normal"/>
    <w:link w:val="PidipaginaCarattere"/>
    <w:uiPriority w:val="99"/>
    <w:unhideWhenUsed/>
    <w:rsid w:val="00f0016f"/>
    <w:pPr>
      <w:tabs>
        <w:tab w:val="clear" w:pos="720"/>
        <w:tab w:val="center" w:pos="4513" w:leader="none"/>
        <w:tab w:val="right" w:pos="9026" w:leader="none"/>
      </w:tabs>
    </w:pPr>
    <w:rPr/>
  </w:style>
  <w:style w:type="paragraph" w:styleId="ListParagraph">
    <w:name w:val="List Paragraph"/>
    <w:basedOn w:val="Normal"/>
    <w:uiPriority w:val="34"/>
    <w:qFormat/>
    <w:rsid w:val="00226050"/>
    <w:pPr>
      <w:spacing w:before="0" w:after="0"/>
      <w:ind w:left="720"/>
      <w:contextualSpacing/>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docenti.unicatt.i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BE760B-2215-4E82-B061-68DC9ED44EC8}">
  <ds:schemaRefs>
    <ds:schemaRef ds:uri="http://schemas.microsoft.com/sharepoint/v3/contenttype/forms"/>
  </ds:schemaRefs>
</ds:datastoreItem>
</file>

<file path=customXml/itemProps2.xml><?xml version="1.0" encoding="utf-8"?>
<ds:datastoreItem xmlns:ds="http://schemas.openxmlformats.org/officeDocument/2006/customXml" ds:itemID="{CD55E253-7AFE-4A2E-8DA7-0ED721DE0C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32BA28-E86D-43F1-B9A4-58C864ED577B}"/>
</file>

<file path=customXml/itemProps4.xml><?xml version="1.0" encoding="utf-8"?>
<ds:datastoreItem xmlns:ds="http://schemas.openxmlformats.org/officeDocument/2006/customXml" ds:itemID="{61CD0389-B1C2-4C36-B0E1-FE1F62E98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LibreOffice/24.8.6.2$Windows_X86_64 LibreOffice_project/6d98ba145e9a8a39fc57bcc76981d1fb1316c60c</Application>
  <AppVersion>15.0000</AppVersion>
  <Pages>3</Pages>
  <Words>1058</Words>
  <Characters>6222</Characters>
  <CharactersWithSpaces>7224</CharactersWithSpaces>
  <Paragraphs>65</Paragraphs>
  <Company>London Stock Exchange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Bagato</dc:creator>
  <dc:description/>
  <cp:lastModifiedBy/>
  <cp:revision>6</cp:revision>
  <cp:lastPrinted>2017-04-05T17:49:00Z</cp:lastPrinted>
  <dcterms:created xsi:type="dcterms:W3CDTF">2024-05-24T15:13:00Z</dcterms:created>
  <dcterms:modified xsi:type="dcterms:W3CDTF">2025-06-02T09:17:40Z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_AdHocReviewCycleID">
    <vt:i4>542553598</vt:i4>
  </property>
  <property fmtid="{D5CDD505-2E9C-101B-9397-08002B2CF9AE}" pid="4" name="_AuthorEmail">
    <vt:lpwstr>luca.bagato@borsaitaliana.it</vt:lpwstr>
  </property>
  <property fmtid="{D5CDD505-2E9C-101B-9397-08002B2CF9AE}" pid="5" name="_AuthorEmailDisplayName">
    <vt:lpwstr>Luca Bagato</vt:lpwstr>
  </property>
  <property fmtid="{D5CDD505-2E9C-101B-9397-08002B2CF9AE}" pid="6" name="_EmailSubject">
    <vt:lpwstr>programmi microstruttura ita e inglese </vt:lpwstr>
  </property>
  <property fmtid="{D5CDD505-2E9C-101B-9397-08002B2CF9AE}" pid="7" name="_NewReviewCycle">
    <vt:lpwstr/>
  </property>
  <property fmtid="{D5CDD505-2E9C-101B-9397-08002B2CF9AE}" pid="8" name="_ReviewingToolsShownOnce">
    <vt:lpwstr/>
  </property>
</Properties>
</file>